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0914C">
      <w:pPr>
        <w:pBdr>
          <w:bottom w:val="single" w:color="000000" w:sz="4" w:space="1"/>
        </w:pBdr>
        <w:jc w:val="center"/>
        <w:rPr>
          <w:sz w:val="26"/>
          <w:szCs w:val="26"/>
        </w:rPr>
      </w:pPr>
      <w:r>
        <w:rPr>
          <w:b/>
          <w:bCs/>
          <w:szCs w:val="22"/>
        </w:rPr>
        <w:t xml:space="preserve">Коммерческое предложение от </w:t>
      </w:r>
      <w:r>
        <w:rPr>
          <w:rFonts w:hint="default"/>
          <w:b/>
          <w:bCs/>
          <w:szCs w:val="22"/>
          <w:lang w:val="ru-RU"/>
        </w:rPr>
        <w:t>22.04</w:t>
      </w:r>
      <w:r>
        <w:rPr>
          <w:b/>
          <w:bCs/>
          <w:szCs w:val="22"/>
        </w:rPr>
        <w:t>.2024 г.</w:t>
      </w:r>
    </w:p>
    <w:p w14:paraId="3A5D81BB">
      <w:pPr>
        <w:pBdr>
          <w:bottom w:val="single" w:color="000000" w:sz="4" w:space="1"/>
        </w:pBdr>
        <w:tabs>
          <w:tab w:val="left" w:pos="330"/>
          <w:tab w:val="right" w:pos="9866"/>
        </w:tabs>
        <w:jc w:val="center"/>
        <w:rPr>
          <w:b/>
          <w:bCs/>
          <w:szCs w:val="22"/>
        </w:rPr>
      </w:pPr>
      <w:r>
        <w:rPr>
          <w:b/>
          <w:bCs/>
          <w:szCs w:val="22"/>
        </w:rPr>
        <w:t>Уважаемые господа!</w:t>
      </w:r>
    </w:p>
    <w:p w14:paraId="4785F7D3">
      <w:pPr>
        <w:pStyle w:val="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Компания «Новтрак» </w:t>
      </w:r>
      <w:r>
        <w:rPr>
          <w:b w:val="0"/>
          <w:sz w:val="22"/>
          <w:szCs w:val="22"/>
          <w:lang w:val="ru-RU"/>
        </w:rPr>
        <w:t xml:space="preserve">совместно с официальным дилером ООО "МаксКар" </w:t>
      </w:r>
      <w:r>
        <w:rPr>
          <w:b w:val="0"/>
          <w:sz w:val="22"/>
          <w:szCs w:val="22"/>
        </w:rPr>
        <w:t>благодарит Вас за интерес к нашей продукции и имеет честь представить ее Вам в виде коммерческого предложения.</w:t>
      </w:r>
    </w:p>
    <w:p w14:paraId="0C194AFB">
      <w:pPr>
        <w:jc w:val="center"/>
        <w:rPr>
          <w:b/>
          <w:bCs/>
        </w:rPr>
      </w:pPr>
    </w:p>
    <w:p w14:paraId="1FC9D02F">
      <w:pPr>
        <w:jc w:val="center"/>
        <w:rPr>
          <w:b/>
          <w:bCs/>
          <w:color w:val="000000"/>
        </w:rPr>
      </w:pPr>
      <w:r>
        <w:rPr>
          <w:b/>
          <w:bCs/>
        </w:rPr>
        <w:t>СПЕЦИФИКАЦИЯ</w:t>
      </w:r>
    </w:p>
    <w:p w14:paraId="0F92BE3F">
      <w:pPr>
        <w:pBdr>
          <w:top w:val="single" w:color="000000" w:sz="4" w:space="0"/>
          <w:left w:val="single" w:color="000000" w:sz="4" w:space="1"/>
          <w:bottom w:val="single" w:color="000000" w:sz="4" w:space="0"/>
          <w:right w:val="single" w:color="000000" w:sz="4" w:space="0"/>
        </w:pBdr>
        <w:jc w:val="center"/>
        <w:rPr>
          <w:b/>
          <w:bCs/>
        </w:rPr>
      </w:pPr>
      <w:r>
        <w:rPr>
          <w:b/>
          <w:bCs/>
          <w:color w:val="000000"/>
        </w:rPr>
        <w:t>Четырехосный шторный полуприцеп</w:t>
      </w:r>
      <w:r>
        <w:rPr>
          <w:b/>
          <w:bCs/>
        </w:rPr>
        <w:t xml:space="preserve"> мод. </w:t>
      </w:r>
      <w:r>
        <w:rPr>
          <w:b/>
          <w:bCs/>
          <w:lang w:val="en-US"/>
        </w:rPr>
        <w:t>SP</w:t>
      </w:r>
      <w:r>
        <w:rPr>
          <w:b/>
          <w:bCs/>
        </w:rPr>
        <w:t>-451, 13,7 м.</w:t>
      </w:r>
    </w:p>
    <w:p w14:paraId="777B3CE6">
      <w:pPr>
        <w:tabs>
          <w:tab w:val="left" w:pos="360"/>
          <w:tab w:val="left" w:pos="19800"/>
        </w:tabs>
        <w:jc w:val="center"/>
        <w:rPr>
          <w:rFonts w:eastAsia="PMingLiU"/>
          <w:bCs/>
          <w:color w:val="000000"/>
          <w:szCs w:val="22"/>
        </w:rPr>
      </w:pPr>
      <w:r>
        <w:t>Подходит под тягач с колёсной формулой 4х2 на пневмоподвеске с расстоянием от переднего габарита до центра седельно-сцепного устройства 4500 мм.</w:t>
      </w:r>
    </w:p>
    <w:p w14:paraId="63C9F19C">
      <w:pPr>
        <w:tabs>
          <w:tab w:val="left" w:pos="2805"/>
        </w:tabs>
        <w:rPr>
          <w:rFonts w:eastAsia="PMingLiU"/>
          <w:szCs w:val="22"/>
        </w:rPr>
      </w:pPr>
      <w:r>
        <w:rPr>
          <w:rFonts w:eastAsia="PMingLiU"/>
          <w:szCs w:val="22"/>
        </w:rPr>
        <w:pict>
          <v:shape id="_x0000_i1025" o:spt="75" type="#_x0000_t75" style="height:118.2pt;width:483.6pt;" filled="f" o:preferrelative="t" stroked="f" coordsize="21600,21600">
            <v:path/>
            <v:fill on="f" focussize="0,0"/>
            <v:stroke on="f" joinstyle="miter"/>
            <v:imagedata r:id="rId7" croptop="9664f" cropbottom="829f" o:title=""/>
            <o:lock v:ext="edit" aspectratio="t"/>
            <w10:wrap type="none"/>
            <w10:anchorlock/>
          </v:shape>
        </w:pict>
      </w:r>
    </w:p>
    <w:p w14:paraId="4A5BEEEE">
      <w:pPr>
        <w:tabs>
          <w:tab w:val="left" w:pos="2805"/>
        </w:tabs>
        <w:rPr>
          <w:rFonts w:eastAsia="PMingLiU"/>
          <w:szCs w:val="22"/>
        </w:rPr>
      </w:pPr>
      <w:r>
        <w:rPr>
          <w:rFonts w:eastAsia="PMingLiU"/>
          <w:szCs w:val="22"/>
        </w:rPr>
        <w:pict>
          <v:shape id="_x0000_i1026" o:spt="75" type="#_x0000_t75" style="height:322.8pt;width:483.6pt;" filled="f" o:preferrelative="t" stroked="f" coordsize="21600,21600">
            <v:path/>
            <v:fill on="f" focussize="0,0"/>
            <v:stroke on="f" joinstyle="miter"/>
            <v:imagedata r:id="rId8" croptop="5221f" cropright="4182f" cropbottom="5966f" o:title="WhatsApp Image 2023-06-16 at 16.23"/>
            <o:lock v:ext="edit" aspectratio="t"/>
            <w10:wrap type="none"/>
            <w10:anchorlock/>
          </v:shape>
        </w:pict>
      </w:r>
    </w:p>
    <w:p w14:paraId="776462D4">
      <w:pPr>
        <w:tabs>
          <w:tab w:val="left" w:pos="360"/>
          <w:tab w:val="left" w:pos="19800"/>
        </w:tabs>
        <w:rPr>
          <w:rFonts w:eastAsia="PMingLiU"/>
          <w:szCs w:val="22"/>
        </w:rPr>
      </w:pPr>
    </w:p>
    <w:p w14:paraId="733B14FB">
      <w:pPr>
        <w:tabs>
          <w:tab w:val="left" w:pos="360"/>
          <w:tab w:val="left" w:pos="19800"/>
        </w:tabs>
        <w:jc w:val="center"/>
        <w:rPr>
          <w:rFonts w:eastAsia="PMingLiU"/>
          <w:szCs w:val="22"/>
        </w:rPr>
      </w:pPr>
    </w:p>
    <w:p w14:paraId="34357D52">
      <w:pPr>
        <w:jc w:val="center"/>
        <w:rPr>
          <w:rFonts w:eastAsia="PMingLiU"/>
          <w:szCs w:val="22"/>
        </w:rPr>
      </w:pPr>
      <w:r>
        <w:rPr>
          <w:rFonts w:eastAsia="PMingLiU"/>
          <w:b/>
          <w:szCs w:val="22"/>
        </w:rPr>
        <w:t xml:space="preserve">  ОБЩИЕ СВЕДЕНИЯ</w:t>
      </w:r>
    </w:p>
    <w:p w14:paraId="2136A415">
      <w:pPr>
        <w:spacing w:after="120"/>
        <w:rPr>
          <w:rFonts w:eastAsia="PMingLiU"/>
          <w:b/>
          <w:szCs w:val="22"/>
          <w:u w:val="single"/>
          <w:lang w:val="zh-CN"/>
        </w:rPr>
      </w:pPr>
      <w:r>
        <w:rPr>
          <w:rFonts w:eastAsia="PMingLiU"/>
          <w:szCs w:val="22"/>
          <w:lang w:val="zh-CN"/>
        </w:rPr>
        <w:t xml:space="preserve">категория транспортного средства                                  </w:t>
      </w:r>
      <w:r>
        <w:rPr>
          <w:rFonts w:eastAsia="PMingLiU"/>
          <w:szCs w:val="22"/>
          <w:lang w:val="zh-CN"/>
        </w:rPr>
        <w:tab/>
      </w:r>
      <w:r>
        <w:rPr>
          <w:rFonts w:eastAsia="PMingLiU"/>
          <w:szCs w:val="22"/>
          <w:lang w:val="zh-CN"/>
        </w:rPr>
        <w:tab/>
      </w:r>
      <w:r>
        <w:rPr>
          <w:rFonts w:eastAsia="PMingLiU"/>
          <w:szCs w:val="22"/>
          <w:lang w:val="zh-CN"/>
        </w:rPr>
        <w:t xml:space="preserve">                                                О4</w:t>
      </w:r>
    </w:p>
    <w:p w14:paraId="756E04DA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РАЗМЕРЫ</w:t>
      </w:r>
    </w:p>
    <w:tbl>
      <w:tblPr>
        <w:tblStyle w:val="4"/>
        <w:tblW w:w="1034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2"/>
        <w:gridCol w:w="2316"/>
      </w:tblGrid>
      <w:tr w14:paraId="1630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7F5816CF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габаритная длина</w:t>
            </w:r>
          </w:p>
        </w:tc>
        <w:tc>
          <w:tcPr>
            <w:tcW w:w="2316" w:type="dxa"/>
            <w:shd w:val="clear" w:color="auto" w:fill="auto"/>
          </w:tcPr>
          <w:p w14:paraId="159B7CA4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b/>
                <w:sz w:val="24"/>
                <w:szCs w:val="22"/>
              </w:rPr>
            </w:pPr>
            <w:r>
              <w:rPr>
                <w:rFonts w:eastAsia="PMingLiU"/>
                <w:b/>
                <w:sz w:val="24"/>
                <w:szCs w:val="22"/>
              </w:rPr>
              <w:t>1</w:t>
            </w:r>
            <w:r>
              <w:rPr>
                <w:rFonts w:eastAsia="PMingLiU"/>
                <w:b/>
                <w:sz w:val="24"/>
                <w:szCs w:val="22"/>
                <w:lang w:val="en-US"/>
              </w:rPr>
              <w:t>3</w:t>
            </w:r>
            <w:r>
              <w:rPr>
                <w:rFonts w:eastAsia="PMingLiU"/>
                <w:b/>
                <w:sz w:val="24"/>
                <w:szCs w:val="22"/>
              </w:rPr>
              <w:t xml:space="preserve"> </w:t>
            </w:r>
            <w:r>
              <w:rPr>
                <w:rFonts w:eastAsia="PMingLiU"/>
                <w:b/>
                <w:sz w:val="24"/>
                <w:szCs w:val="22"/>
                <w:lang w:val="en-US"/>
              </w:rPr>
              <w:t>70</w:t>
            </w:r>
            <w:r>
              <w:rPr>
                <w:rFonts w:eastAsia="PMingLiU"/>
                <w:b/>
                <w:sz w:val="24"/>
                <w:szCs w:val="22"/>
              </w:rPr>
              <w:t>0 мм</w:t>
            </w:r>
          </w:p>
        </w:tc>
      </w:tr>
      <w:tr w14:paraId="467B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780ADB7F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габаритная ширина по средним стойкам</w:t>
            </w:r>
          </w:p>
        </w:tc>
        <w:tc>
          <w:tcPr>
            <w:tcW w:w="2316" w:type="dxa"/>
            <w:shd w:val="clear" w:color="auto" w:fill="auto"/>
          </w:tcPr>
          <w:p w14:paraId="140FF002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2 560 мм</w:t>
            </w:r>
          </w:p>
        </w:tc>
      </w:tr>
      <w:tr w14:paraId="78EA2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020D7C25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габаритная ширина по передней стенке и задним стойкам</w:t>
            </w:r>
          </w:p>
        </w:tc>
        <w:tc>
          <w:tcPr>
            <w:tcW w:w="2316" w:type="dxa"/>
            <w:shd w:val="clear" w:color="auto" w:fill="auto"/>
          </w:tcPr>
          <w:p w14:paraId="266C2866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2 550 мм</w:t>
            </w:r>
          </w:p>
        </w:tc>
      </w:tr>
      <w:tr w14:paraId="0760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23B09FC8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габаритная высота</w:t>
            </w:r>
          </w:p>
        </w:tc>
        <w:tc>
          <w:tcPr>
            <w:tcW w:w="2316" w:type="dxa"/>
            <w:shd w:val="clear" w:color="auto" w:fill="auto"/>
            <w:vAlign w:val="bottom"/>
          </w:tcPr>
          <w:p w14:paraId="0890FEFD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4 000 мм</w:t>
            </w:r>
          </w:p>
        </w:tc>
      </w:tr>
      <w:tr w14:paraId="6E51A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0A90ACEB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внутренняя высота при высоте седельно-сцепного устройства 1150 мм</w:t>
            </w:r>
          </w:p>
        </w:tc>
        <w:tc>
          <w:tcPr>
            <w:tcW w:w="2316" w:type="dxa"/>
            <w:shd w:val="clear" w:color="auto" w:fill="auto"/>
            <w:vAlign w:val="bottom"/>
          </w:tcPr>
          <w:p w14:paraId="4352DBBE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2 680 мм</w:t>
            </w:r>
          </w:p>
        </w:tc>
      </w:tr>
      <w:tr w14:paraId="011C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238C3C2B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высота бокового проема в свету при высоте ССУ 1150 мм</w:t>
            </w:r>
          </w:p>
        </w:tc>
        <w:tc>
          <w:tcPr>
            <w:tcW w:w="2316" w:type="dxa"/>
            <w:shd w:val="clear" w:color="auto" w:fill="auto"/>
            <w:vAlign w:val="bottom"/>
          </w:tcPr>
          <w:p w14:paraId="224610C0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ок. 2 572 мм</w:t>
            </w:r>
          </w:p>
        </w:tc>
      </w:tr>
      <w:tr w14:paraId="759C9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26CAFA98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внутренняя длина</w:t>
            </w:r>
          </w:p>
        </w:tc>
        <w:tc>
          <w:tcPr>
            <w:tcW w:w="2316" w:type="dxa"/>
            <w:shd w:val="clear" w:color="auto" w:fill="auto"/>
          </w:tcPr>
          <w:p w14:paraId="394B3691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b/>
                <w:sz w:val="24"/>
                <w:szCs w:val="22"/>
              </w:rPr>
            </w:pPr>
            <w:r>
              <w:rPr>
                <w:rFonts w:eastAsia="PMingLiU"/>
                <w:b/>
                <w:sz w:val="24"/>
                <w:szCs w:val="22"/>
                <w:lang w:val="en-US"/>
              </w:rPr>
              <w:t>13</w:t>
            </w:r>
            <w:r>
              <w:rPr>
                <w:rFonts w:eastAsia="PMingLiU"/>
                <w:b/>
                <w:sz w:val="24"/>
                <w:szCs w:val="22"/>
              </w:rPr>
              <w:t xml:space="preserve"> </w:t>
            </w:r>
            <w:r>
              <w:rPr>
                <w:rFonts w:eastAsia="PMingLiU"/>
                <w:b/>
                <w:sz w:val="24"/>
                <w:szCs w:val="22"/>
                <w:lang w:val="en-US"/>
              </w:rPr>
              <w:t>455</w:t>
            </w:r>
            <w:r>
              <w:rPr>
                <w:rFonts w:eastAsia="PMingLiU"/>
                <w:b/>
                <w:sz w:val="24"/>
                <w:szCs w:val="22"/>
              </w:rPr>
              <w:t xml:space="preserve"> мм </w:t>
            </w:r>
          </w:p>
        </w:tc>
      </w:tr>
      <w:tr w14:paraId="1B1E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5B9D955B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внутренняя ширина</w:t>
            </w:r>
          </w:p>
        </w:tc>
        <w:tc>
          <w:tcPr>
            <w:tcW w:w="2316" w:type="dxa"/>
            <w:shd w:val="clear" w:color="auto" w:fill="auto"/>
          </w:tcPr>
          <w:p w14:paraId="5A45D4E2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2 480 мм</w:t>
            </w:r>
          </w:p>
        </w:tc>
      </w:tr>
      <w:tr w14:paraId="1763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274E6A0E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 xml:space="preserve">внутренний объем </w:t>
            </w:r>
          </w:p>
        </w:tc>
        <w:tc>
          <w:tcPr>
            <w:tcW w:w="2316" w:type="dxa"/>
            <w:shd w:val="clear" w:color="auto" w:fill="auto"/>
            <w:vAlign w:val="bottom"/>
          </w:tcPr>
          <w:p w14:paraId="21A3F9EB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  <w:lang w:val="en-US"/>
              </w:rPr>
              <w:t>92</w:t>
            </w:r>
            <w:r>
              <w:rPr>
                <w:rFonts w:eastAsia="PMingLiU"/>
                <w:sz w:val="24"/>
                <w:szCs w:val="22"/>
              </w:rPr>
              <w:t xml:space="preserve"> м3</w:t>
            </w:r>
          </w:p>
        </w:tc>
      </w:tr>
      <w:tr w14:paraId="6A11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032" w:type="dxa"/>
            <w:shd w:val="clear" w:color="auto" w:fill="auto"/>
          </w:tcPr>
          <w:p w14:paraId="317D7679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колея</w:t>
            </w:r>
          </w:p>
        </w:tc>
        <w:tc>
          <w:tcPr>
            <w:tcW w:w="2316" w:type="dxa"/>
            <w:shd w:val="clear" w:color="auto" w:fill="auto"/>
          </w:tcPr>
          <w:p w14:paraId="3CC0DEA8">
            <w:pPr>
              <w:tabs>
                <w:tab w:val="left" w:pos="360"/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2 040 мм</w:t>
            </w:r>
          </w:p>
        </w:tc>
      </w:tr>
    </w:tbl>
    <w:p w14:paraId="0E7B1354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ВЕС</w:t>
      </w:r>
    </w:p>
    <w:tbl>
      <w:tblPr>
        <w:tblStyle w:val="4"/>
        <w:tblW w:w="1034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2"/>
        <w:gridCol w:w="2226"/>
      </w:tblGrid>
      <w:tr w14:paraId="51F60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47393378">
            <w:pPr>
              <w:tabs>
                <w:tab w:val="left" w:pos="360"/>
                <w:tab w:val="left" w:pos="19800"/>
              </w:tabs>
              <w:rPr>
                <w:rFonts w:eastAsia="PMingLiU"/>
                <w:color w:val="000000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масса полуприцепа в снаряженном состоянии</w:t>
            </w:r>
          </w:p>
        </w:tc>
        <w:tc>
          <w:tcPr>
            <w:tcW w:w="2226" w:type="dxa"/>
            <w:shd w:val="clear" w:color="auto" w:fill="auto"/>
          </w:tcPr>
          <w:p w14:paraId="244647AF">
            <w:pPr>
              <w:tabs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color w:val="000000"/>
                <w:sz w:val="24"/>
                <w:szCs w:val="22"/>
              </w:rPr>
              <w:t>ок. 7 760 кг*</w:t>
            </w:r>
          </w:p>
        </w:tc>
      </w:tr>
      <w:tr w14:paraId="184D7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4C45B9F5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масса перевозимого груза, не более</w:t>
            </w:r>
          </w:p>
        </w:tc>
        <w:tc>
          <w:tcPr>
            <w:tcW w:w="2226" w:type="dxa"/>
            <w:shd w:val="clear" w:color="auto" w:fill="auto"/>
          </w:tcPr>
          <w:p w14:paraId="78ED7C02">
            <w:pPr>
              <w:tabs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38 000 кг</w:t>
            </w:r>
          </w:p>
        </w:tc>
      </w:tr>
      <w:tr w14:paraId="0531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0FABB3CB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полная масса полуприцепа, не более</w:t>
            </w:r>
          </w:p>
        </w:tc>
        <w:tc>
          <w:tcPr>
            <w:tcW w:w="2226" w:type="dxa"/>
            <w:shd w:val="clear" w:color="auto" w:fill="auto"/>
          </w:tcPr>
          <w:p w14:paraId="5334955F">
            <w:pPr>
              <w:tabs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47 000 кг</w:t>
            </w:r>
          </w:p>
        </w:tc>
      </w:tr>
      <w:tr w14:paraId="6692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493CA342">
            <w:pPr>
              <w:tabs>
                <w:tab w:val="left" w:pos="360"/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распределение полной массы полуприцепа по осям</w:t>
            </w:r>
          </w:p>
        </w:tc>
        <w:tc>
          <w:tcPr>
            <w:tcW w:w="2226" w:type="dxa"/>
            <w:shd w:val="clear" w:color="auto" w:fill="auto"/>
          </w:tcPr>
          <w:p w14:paraId="79F89CC5">
            <w:pPr>
              <w:tabs>
                <w:tab w:val="left" w:pos="19800"/>
              </w:tabs>
              <w:snapToGrid w:val="0"/>
              <w:jc w:val="right"/>
              <w:rPr>
                <w:rFonts w:eastAsia="PMingLiU"/>
                <w:sz w:val="24"/>
                <w:szCs w:val="22"/>
              </w:rPr>
            </w:pPr>
          </w:p>
        </w:tc>
      </w:tr>
      <w:tr w14:paraId="177F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2DC7C2C2">
            <w:pPr>
              <w:tabs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на седельно-сцепное устройство, не более</w:t>
            </w:r>
          </w:p>
        </w:tc>
        <w:tc>
          <w:tcPr>
            <w:tcW w:w="2226" w:type="dxa"/>
            <w:shd w:val="clear" w:color="auto" w:fill="auto"/>
          </w:tcPr>
          <w:p w14:paraId="40593FC9">
            <w:pPr>
              <w:tabs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11 000 кг</w:t>
            </w:r>
          </w:p>
        </w:tc>
      </w:tr>
      <w:tr w14:paraId="3C5E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2" w:type="dxa"/>
            <w:shd w:val="clear" w:color="auto" w:fill="auto"/>
          </w:tcPr>
          <w:p w14:paraId="227DD526">
            <w:pPr>
              <w:tabs>
                <w:tab w:val="left" w:pos="19800"/>
              </w:tabs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на тележку полуприцепа, не более</w:t>
            </w:r>
          </w:p>
        </w:tc>
        <w:tc>
          <w:tcPr>
            <w:tcW w:w="2226" w:type="dxa"/>
            <w:shd w:val="clear" w:color="auto" w:fill="auto"/>
          </w:tcPr>
          <w:p w14:paraId="21427930">
            <w:pPr>
              <w:tabs>
                <w:tab w:val="left" w:pos="19800"/>
              </w:tabs>
              <w:jc w:val="right"/>
              <w:rPr>
                <w:rFonts w:eastAsia="PMingLiU"/>
                <w:sz w:val="24"/>
                <w:szCs w:val="22"/>
              </w:rPr>
            </w:pPr>
            <w:r>
              <w:rPr>
                <w:rFonts w:eastAsia="PMingLiU"/>
                <w:sz w:val="24"/>
                <w:szCs w:val="22"/>
              </w:rPr>
              <w:t>36 000 кг</w:t>
            </w:r>
          </w:p>
        </w:tc>
      </w:tr>
    </w:tbl>
    <w:p w14:paraId="601B4007">
      <w:pPr>
        <w:jc w:val="right"/>
        <w:rPr>
          <w:rFonts w:eastAsia="PMingLiU"/>
          <w:szCs w:val="22"/>
        </w:rPr>
      </w:pPr>
      <w:r>
        <w:rPr>
          <w:rFonts w:eastAsia="PMingLiU"/>
          <w:szCs w:val="22"/>
        </w:rPr>
        <w:t>*без запасного колеса.</w:t>
      </w:r>
    </w:p>
    <w:p w14:paraId="73EC36B0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ШАССИ</w:t>
      </w:r>
    </w:p>
    <w:p w14:paraId="664409E4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rFonts w:eastAsia="PMingLiU"/>
          <w:szCs w:val="22"/>
        </w:rPr>
      </w:pPr>
      <w:r>
        <w:rPr>
          <w:rFonts w:eastAsia="PMingLiU"/>
          <w:bCs/>
          <w:szCs w:val="22"/>
        </w:rPr>
        <w:t>сварная конструкция из продольных лонжеронов и поперечных балок, изготовленных из высококачественной стали</w:t>
      </w:r>
      <w:r>
        <w:rPr>
          <w:rFonts w:eastAsia="PMingLiU"/>
          <w:color w:val="000000"/>
          <w:szCs w:val="22"/>
        </w:rPr>
        <w:t>;</w:t>
      </w:r>
    </w:p>
    <w:p w14:paraId="6C407381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rFonts w:eastAsia="PMingLiU"/>
          <w:szCs w:val="22"/>
        </w:rPr>
      </w:pPr>
      <w:r>
        <w:rPr>
          <w:rFonts w:eastAsia="PMingLiU"/>
          <w:szCs w:val="22"/>
        </w:rPr>
        <w:t>опорная плита с соединительным 2-х дюймовым шкворнем, соответствующим ЕЭК ООН № 55.00 и расположенным согласно ISO 1726;</w:t>
      </w:r>
    </w:p>
    <w:p w14:paraId="10CC24CE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bCs/>
          <w:szCs w:val="22"/>
        </w:rPr>
      </w:pPr>
      <w:r>
        <w:rPr>
          <w:szCs w:val="22"/>
        </w:rPr>
        <w:t>задний защитный брус в виде стальной трубы, соответствующий правилам ЕЭК ООН № 58-01</w:t>
      </w:r>
      <w:r>
        <w:rPr>
          <w:rFonts w:eastAsia="PMingLiU"/>
          <w:szCs w:val="22"/>
        </w:rPr>
        <w:t>;</w:t>
      </w:r>
    </w:p>
    <w:p w14:paraId="1E47C985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szCs w:val="22"/>
        </w:rPr>
      </w:pPr>
      <w:r>
        <w:rPr>
          <w:bCs/>
          <w:szCs w:val="22"/>
        </w:rPr>
        <w:t xml:space="preserve">2 боковых защитных приспособления, соответствующих нормам ЕЭК ООН № 73.00(широкий алюминиевый профиль с рекламой </w:t>
      </w:r>
      <w:r>
        <w:rPr>
          <w:bCs/>
          <w:szCs w:val="22"/>
          <w:lang w:val="en-US"/>
        </w:rPr>
        <w:t>MEUSBURGER</w:t>
      </w:r>
      <w:r>
        <w:rPr>
          <w:bCs/>
          <w:szCs w:val="22"/>
        </w:rPr>
        <w:t xml:space="preserve"> НОВТРАК по всей ширине);</w:t>
      </w:r>
    </w:p>
    <w:p w14:paraId="05700FA5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szCs w:val="22"/>
        </w:rPr>
      </w:pPr>
      <w:r>
        <w:rPr>
          <w:szCs w:val="22"/>
        </w:rPr>
        <w:t xml:space="preserve">боковая защита с правой стороны, имеет отверстие с болтом, предотвращающее непредвиденный доступ к запасному колесу;  </w:t>
      </w:r>
    </w:p>
    <w:p w14:paraId="1DF56DF0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szCs w:val="22"/>
        </w:rPr>
      </w:pPr>
      <w:r>
        <w:rPr>
          <w:szCs w:val="22"/>
        </w:rPr>
        <w:t>2 х 12 тонн переднее опорное устройство с односторонним управлением справа;</w:t>
      </w:r>
    </w:p>
    <w:p w14:paraId="076B00BB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360"/>
          <w:tab w:val="left" w:pos="19800"/>
        </w:tabs>
        <w:rPr>
          <w:szCs w:val="22"/>
          <w:shd w:val="clear" w:color="auto" w:fill="FFFFFF"/>
        </w:rPr>
      </w:pPr>
      <w:r>
        <w:rPr>
          <w:szCs w:val="22"/>
        </w:rPr>
        <w:t>2 противооткатных упора с держателями;</w:t>
      </w:r>
    </w:p>
    <w:p w14:paraId="1DE162B2"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  <w:between w:val="single" w:color="auto" w:sz="4" w:space="1"/>
        </w:pBdr>
        <w:tabs>
          <w:tab w:val="left" w:pos="709"/>
        </w:tabs>
        <w:rPr>
          <w:szCs w:val="22"/>
        </w:rPr>
      </w:pPr>
      <w:r>
        <w:rPr>
          <w:szCs w:val="22"/>
        </w:rPr>
        <w:t>пластиковые крылья над всеми колёсами;</w:t>
      </w:r>
    </w:p>
    <w:p w14:paraId="6A0B78B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709"/>
        </w:tabs>
        <w:rPr>
          <w:szCs w:val="22"/>
        </w:rPr>
      </w:pPr>
      <w:r>
        <w:rPr>
          <w:szCs w:val="22"/>
        </w:rPr>
        <w:t>корзина для крепления двух запасных колес (болтовая сборка), держатели для крепления двух запасных колес (установка между 1 и 2 осями);</w:t>
      </w:r>
    </w:p>
    <w:p w14:paraId="6FA7F03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szCs w:val="22"/>
        </w:rPr>
      </w:pPr>
      <w:r>
        <w:rPr>
          <w:szCs w:val="22"/>
        </w:rPr>
        <w:t>наружная обвязка рамы из специального профиля, позволяющего крепить груз вдоль всей длины бортов в любом направлении.</w:t>
      </w:r>
    </w:p>
    <w:p w14:paraId="6A46B0F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szCs w:val="22"/>
        </w:rPr>
      </w:pPr>
      <w:r>
        <w:rPr>
          <w:szCs w:val="22"/>
        </w:rPr>
        <w:t>24 адаптеров для крепления груза, грузоподъемность каждого 2 000 кг.</w:t>
      </w:r>
    </w:p>
    <w:p w14:paraId="0EC28A23">
      <w:pPr>
        <w:rPr>
          <w:rFonts w:eastAsia="PMingLiU"/>
          <w:b/>
          <w:szCs w:val="22"/>
          <w:u w:val="single"/>
        </w:rPr>
      </w:pPr>
    </w:p>
    <w:p w14:paraId="24F25768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ОСЕВОЙ АГРЕГАТ</w:t>
      </w:r>
    </w:p>
    <w:p w14:paraId="6446091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 xml:space="preserve">4 х 9000 кг, марки </w:t>
      </w:r>
      <w:r>
        <w:rPr>
          <w:rFonts w:eastAsia="PMingLiU"/>
          <w:szCs w:val="22"/>
          <w:lang w:val="en-US"/>
        </w:rPr>
        <w:t>SAF</w:t>
      </w:r>
      <w:r>
        <w:rPr>
          <w:rFonts w:eastAsia="PMingLiU"/>
          <w:szCs w:val="22"/>
        </w:rPr>
        <w:t>;</w:t>
      </w:r>
    </w:p>
    <w:p w14:paraId="3F874FD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szCs w:val="22"/>
        </w:rPr>
      </w:pPr>
      <w:r>
        <w:rPr>
          <w:rFonts w:eastAsia="PMingLiU"/>
          <w:szCs w:val="22"/>
        </w:rPr>
        <w:t>межосевое расстояние 2.510 мм / 1.360 мм / 1.360 мм;</w:t>
      </w:r>
    </w:p>
    <w:p w14:paraId="46B74E2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bCs/>
          <w:szCs w:val="22"/>
        </w:rPr>
      </w:pPr>
      <w:r>
        <w:rPr>
          <w:rFonts w:eastAsia="PMingLiU"/>
          <w:szCs w:val="22"/>
        </w:rPr>
        <w:t xml:space="preserve">дисковые </w:t>
      </w:r>
      <w:r>
        <w:rPr>
          <w:rFonts w:eastAsia="PMingLiU"/>
          <w:bCs/>
          <w:szCs w:val="22"/>
        </w:rPr>
        <w:t>тормозные механизмы;</w:t>
      </w:r>
    </w:p>
    <w:p w14:paraId="2AC8EEF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</w:pPr>
      <w:r>
        <w:rPr>
          <w:rFonts w:hint="default" w:ascii="Times New Roman" w:hAnsi="Times New Roman" w:eastAsia="SimSun" w:cs="Times New Roman"/>
          <w:color w:val="000000"/>
          <w:kern w:val="0"/>
          <w:sz w:val="22"/>
          <w:szCs w:val="22"/>
          <w:lang w:val="en-US" w:eastAsia="zh-CN" w:bidi="ar"/>
        </w:rPr>
        <w:t>1-ая и 2-ая оси подъемные (принудительный подъём кнопки управления расположены на полуприцепе).</w:t>
      </w:r>
    </w:p>
    <w:p w14:paraId="6B9E404A">
      <w:pPr>
        <w:rPr>
          <w:rFonts w:eastAsia="PMingLiU"/>
          <w:b/>
          <w:szCs w:val="22"/>
          <w:u w:val="single"/>
        </w:rPr>
      </w:pPr>
    </w:p>
    <w:p w14:paraId="29F7BA8A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 xml:space="preserve">КОЛЕСА И ШИНЫ </w:t>
      </w:r>
      <w:bookmarkStart w:id="0" w:name="_GoBack"/>
      <w:bookmarkEnd w:id="0"/>
    </w:p>
    <w:p w14:paraId="619DD60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bCs/>
          <w:szCs w:val="22"/>
        </w:rPr>
      </w:pPr>
      <w:r>
        <w:rPr>
          <w:rFonts w:eastAsia="PMingLiU"/>
          <w:szCs w:val="22"/>
        </w:rPr>
        <w:t xml:space="preserve">9 колес (вкл. 1 запасное), </w:t>
      </w:r>
      <w:r>
        <w:rPr>
          <w:rFonts w:eastAsia="PMingLiU"/>
          <w:bCs/>
          <w:color w:val="000000"/>
          <w:szCs w:val="22"/>
        </w:rPr>
        <w:t>стальные диски</w:t>
      </w:r>
      <w:r>
        <w:rPr>
          <w:rFonts w:eastAsia="PMingLiU"/>
          <w:szCs w:val="22"/>
        </w:rPr>
        <w:t xml:space="preserve">;              </w:t>
      </w:r>
    </w:p>
    <w:p w14:paraId="7BE36AE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szCs w:val="22"/>
          <w:u w:val="single"/>
        </w:rPr>
      </w:pPr>
      <w:r>
        <w:rPr>
          <w:rFonts w:eastAsia="PMingLiU"/>
          <w:bCs/>
          <w:szCs w:val="22"/>
        </w:rPr>
        <w:t>шины 385/65R22,5</w:t>
      </w:r>
      <w:r>
        <w:rPr>
          <w:rFonts w:eastAsia="PMingLiU"/>
          <w:szCs w:val="22"/>
        </w:rPr>
        <w:t>.</w:t>
      </w:r>
    </w:p>
    <w:p w14:paraId="55BB0AC8">
      <w:pPr>
        <w:rPr>
          <w:rFonts w:eastAsia="PMingLiU"/>
          <w:b/>
          <w:szCs w:val="22"/>
          <w:u w:val="single"/>
        </w:rPr>
      </w:pPr>
    </w:p>
    <w:p w14:paraId="7219D402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ТОРМОЗНАЯ СИСТЕМА</w:t>
      </w:r>
    </w:p>
    <w:p w14:paraId="2D03C03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bCs/>
          <w:szCs w:val="22"/>
        </w:rPr>
      </w:pPr>
      <w:r>
        <w:rPr>
          <w:rFonts w:eastAsia="PMingLiU"/>
          <w:szCs w:val="22"/>
        </w:rPr>
        <w:t>пневматическая, двухпроводная с пневмоаппаратами;</w:t>
      </w:r>
    </w:p>
    <w:p w14:paraId="72606B2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  <w:lang w:val="de-DE"/>
        </w:rPr>
        <w:t>E</w:t>
      </w:r>
      <w:r>
        <w:rPr>
          <w:rFonts w:eastAsia="PMingLiU"/>
          <w:szCs w:val="22"/>
        </w:rPr>
        <w:t>BS</w:t>
      </w:r>
      <w:r>
        <w:rPr>
          <w:rFonts w:hint="default" w:eastAsia="PMingLiU"/>
          <w:szCs w:val="22"/>
          <w:lang w:val="ru-RU"/>
        </w:rPr>
        <w:t xml:space="preserve"> </w:t>
      </w:r>
      <w:r>
        <w:rPr>
          <w:rFonts w:hint="default" w:eastAsia="PMingLiU"/>
          <w:szCs w:val="22"/>
          <w:lang w:val="en-US"/>
        </w:rPr>
        <w:t>Haldex</w:t>
      </w:r>
      <w:r>
        <w:rPr>
          <w:rFonts w:eastAsia="PMingLiU"/>
          <w:szCs w:val="22"/>
        </w:rPr>
        <w:t>;</w:t>
      </w:r>
    </w:p>
    <w:p w14:paraId="6F08DB0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тормозные камеры мембранного типа;</w:t>
      </w:r>
    </w:p>
    <w:p w14:paraId="463B152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стояночная тормозная система полуавтоматического типа с пружинными энергоаккумуляторами;</w:t>
      </w:r>
    </w:p>
    <w:p w14:paraId="252515D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комбинированный клапан растормаживания;</w:t>
      </w:r>
    </w:p>
    <w:p w14:paraId="2BCC1FD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2 присоединительные пневматические головки;</w:t>
      </w:r>
    </w:p>
    <w:p w14:paraId="42202C4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розетка ABS по ISO7638;</w:t>
      </w:r>
    </w:p>
    <w:p w14:paraId="3DDE3F6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без соединительных кабелей.</w:t>
      </w:r>
    </w:p>
    <w:p w14:paraId="516587F9">
      <w:pPr>
        <w:rPr>
          <w:rFonts w:eastAsia="PMingLiU"/>
          <w:b/>
          <w:szCs w:val="22"/>
          <w:u w:val="single"/>
        </w:rPr>
      </w:pPr>
    </w:p>
    <w:p w14:paraId="0C991708">
      <w:pPr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ЭЛЕКТРООБОРУДОВАНИЕ</w:t>
      </w:r>
    </w:p>
    <w:p w14:paraId="4331A1F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bCs/>
          <w:szCs w:val="22"/>
        </w:rPr>
      </w:pPr>
      <w:r>
        <w:rPr>
          <w:szCs w:val="22"/>
        </w:rPr>
        <w:t>рабочее напряжение 24 V;</w:t>
      </w:r>
    </w:p>
    <w:p w14:paraId="0AE4FE9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задние фонари установлены на кронштейнах из нержавеющей стали; производство Россия</w:t>
      </w:r>
    </w:p>
    <w:p w14:paraId="7007F44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 xml:space="preserve">2 фонаря освещения номерного знака </w:t>
      </w:r>
      <w:r>
        <w:rPr>
          <w:bCs/>
          <w:szCs w:val="22"/>
        </w:rPr>
        <w:t>диодные</w:t>
      </w:r>
      <w:r>
        <w:rPr>
          <w:szCs w:val="22"/>
        </w:rPr>
        <w:t>;</w:t>
      </w:r>
    </w:p>
    <w:p w14:paraId="5536E6B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 xml:space="preserve">габаритные боковые фонари </w:t>
      </w:r>
      <w:r>
        <w:rPr>
          <w:bCs/>
          <w:szCs w:val="22"/>
        </w:rPr>
        <w:t>диодные</w:t>
      </w:r>
      <w:r>
        <w:rPr>
          <w:szCs w:val="22"/>
        </w:rPr>
        <w:t>;</w:t>
      </w:r>
    </w:p>
    <w:p w14:paraId="0AB31C3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передние габаритные боковые фонари смещены ближе к задней части полуприцепа;</w:t>
      </w:r>
    </w:p>
    <w:p w14:paraId="0DDF310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 xml:space="preserve">2 передних габаритных фонаря </w:t>
      </w:r>
      <w:r>
        <w:rPr>
          <w:bCs/>
          <w:szCs w:val="22"/>
        </w:rPr>
        <w:t>диодные</w:t>
      </w:r>
      <w:r>
        <w:rPr>
          <w:szCs w:val="22"/>
        </w:rPr>
        <w:t>;</w:t>
      </w:r>
    </w:p>
    <w:p w14:paraId="3B1E32E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 xml:space="preserve">2 задних выносных габаритных фонаря </w:t>
      </w:r>
      <w:r>
        <w:rPr>
          <w:bCs/>
          <w:szCs w:val="22"/>
        </w:rPr>
        <w:t>диодные</w:t>
      </w:r>
      <w:r>
        <w:rPr>
          <w:szCs w:val="22"/>
        </w:rPr>
        <w:t>, смонтированные на защитном брусе;</w:t>
      </w:r>
    </w:p>
    <w:p w14:paraId="313FB7A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2 х 7-полюсных штепсельных разъема;</w:t>
      </w:r>
    </w:p>
    <w:p w14:paraId="4B40828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 xml:space="preserve">1 х 15-полюсный штепсельный разъем; </w:t>
      </w:r>
    </w:p>
    <w:p w14:paraId="6936046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взрывобезопасное исполнение, полная изоляция разъемов;</w:t>
      </w:r>
    </w:p>
    <w:p w14:paraId="5729997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  <w:u w:val="single"/>
        </w:rPr>
      </w:pPr>
      <w:r>
        <w:rPr>
          <w:szCs w:val="22"/>
        </w:rPr>
        <w:t>без соединительных кабелей.</w:t>
      </w:r>
    </w:p>
    <w:p w14:paraId="5B3312FD">
      <w:pPr>
        <w:tabs>
          <w:tab w:val="left" w:pos="2552"/>
        </w:tabs>
        <w:rPr>
          <w:rFonts w:eastAsia="PMingLiU"/>
          <w:b/>
          <w:szCs w:val="22"/>
          <w:u w:val="single"/>
          <w:lang w:val="zh-CN"/>
        </w:rPr>
      </w:pPr>
    </w:p>
    <w:p w14:paraId="62586763">
      <w:pPr>
        <w:tabs>
          <w:tab w:val="left" w:pos="2552"/>
        </w:tabs>
        <w:rPr>
          <w:rFonts w:eastAsia="PMingLiU"/>
          <w:b/>
          <w:szCs w:val="22"/>
          <w:u w:val="single"/>
          <w:lang w:val="zh-CN"/>
        </w:rPr>
      </w:pPr>
      <w:r>
        <w:rPr>
          <w:rFonts w:eastAsia="PMingLiU"/>
          <w:b/>
          <w:szCs w:val="22"/>
          <w:u w:val="single"/>
          <w:lang w:val="zh-CN"/>
        </w:rPr>
        <w:t>ПОЛ</w:t>
      </w:r>
    </w:p>
    <w:p w14:paraId="4C59CA1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из ламинированной многослойной березовой фанеры толщиной 27-30 мм, рифленая поверхность;</w:t>
      </w:r>
    </w:p>
    <w:p w14:paraId="4D491AD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разрешается езда погрузчика непосредственно в кузове, полная масса автопогрузчика до 7 000 кг.</w:t>
      </w:r>
    </w:p>
    <w:p w14:paraId="4960AF1F">
      <w:pPr>
        <w:rPr>
          <w:rFonts w:eastAsia="PMingLiU"/>
          <w:b/>
          <w:szCs w:val="22"/>
          <w:u w:val="single"/>
        </w:rPr>
      </w:pPr>
    </w:p>
    <w:p w14:paraId="6CFE3A23">
      <w:pPr>
        <w:rPr>
          <w:rFonts w:eastAsia="PMingLiU"/>
          <w:b/>
          <w:bCs/>
          <w:color w:val="000000"/>
          <w:szCs w:val="22"/>
          <w:shd w:val="clear" w:color="auto" w:fill="FFFFFF"/>
        </w:rPr>
      </w:pPr>
      <w:r>
        <w:rPr>
          <w:rFonts w:eastAsia="PMingLiU"/>
          <w:b/>
          <w:szCs w:val="22"/>
          <w:u w:val="single"/>
        </w:rPr>
        <w:t xml:space="preserve">ТОРЦЕВАЯ СТЕНА </w:t>
      </w:r>
    </w:p>
    <w:p w14:paraId="1DBE600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szCs w:val="22"/>
        </w:rPr>
      </w:pPr>
      <w:r>
        <w:rPr>
          <w:rFonts w:eastAsia="PMingLiU"/>
          <w:szCs w:val="22"/>
        </w:rPr>
        <w:t>передняя стальная стенка;</w:t>
      </w:r>
    </w:p>
    <w:p w14:paraId="5EA274B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rFonts w:eastAsia="PMingLiU"/>
          <w:szCs w:val="22"/>
        </w:rPr>
      </w:pPr>
      <w:r>
        <w:rPr>
          <w:rFonts w:eastAsia="PMingLiU"/>
          <w:szCs w:val="22"/>
        </w:rPr>
        <w:t>монтажное место для крепления пневмо- и электроразъемов на высоте около 950 мм от седельно-сцепного устройства.</w:t>
      </w:r>
    </w:p>
    <w:p w14:paraId="4B061341">
      <w:pPr>
        <w:keepNext/>
        <w:tabs>
          <w:tab w:val="left" w:pos="0"/>
        </w:tabs>
        <w:outlineLvl w:val="0"/>
        <w:rPr>
          <w:b/>
          <w:szCs w:val="22"/>
        </w:rPr>
      </w:pPr>
    </w:p>
    <w:p w14:paraId="65789AA4">
      <w:pPr>
        <w:keepNext/>
        <w:ind w:left="360" w:hanging="360"/>
        <w:outlineLvl w:val="0"/>
        <w:rPr>
          <w:b/>
          <w:szCs w:val="22"/>
        </w:rPr>
      </w:pPr>
      <w:r>
        <w:rPr>
          <w:b/>
          <w:szCs w:val="22"/>
          <w:u w:val="single"/>
        </w:rPr>
        <w:t>КАРКАС ТЕНТА</w:t>
      </w:r>
    </w:p>
    <w:p w14:paraId="1043828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3 пары сдвижных складных средних стоек стальных, нерегулируемых по высоте</w:t>
      </w:r>
      <w:r>
        <w:rPr>
          <w:b/>
          <w:bCs/>
          <w:szCs w:val="22"/>
          <w:shd w:val="clear" w:color="auto" w:fill="FFFFFF"/>
        </w:rPr>
        <w:t>;</w:t>
      </w:r>
    </w:p>
    <w:p w14:paraId="500216F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2 задние стальные несъемные стойки;</w:t>
      </w:r>
    </w:p>
    <w:p w14:paraId="7B75319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специальные крепления для ремней сверху на средних стойках для уменьшения колебаний каркаса тента при частичной загрузке;</w:t>
      </w:r>
    </w:p>
    <w:p w14:paraId="1D287B2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4 ряда карманов под боковые доски (слева и справа)</w:t>
      </w:r>
    </w:p>
    <w:p w14:paraId="68A04BF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720"/>
        </w:tabs>
        <w:rPr>
          <w:szCs w:val="22"/>
        </w:rPr>
      </w:pPr>
      <w:r>
        <w:rPr>
          <w:szCs w:val="22"/>
        </w:rPr>
        <w:t xml:space="preserve">все стойки с четырьмя карманами под деревянные перекладины </w:t>
      </w:r>
      <w:r>
        <w:rPr>
          <w:bCs/>
          <w:szCs w:val="22"/>
          <w:shd w:val="clear" w:color="auto" w:fill="FFFFFF"/>
        </w:rPr>
        <w:t>(усиленные карманы);</w:t>
      </w:r>
    </w:p>
    <w:p w14:paraId="021B080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720"/>
        </w:tabs>
        <w:rPr>
          <w:szCs w:val="22"/>
        </w:rPr>
      </w:pPr>
      <w:r>
        <w:rPr>
          <w:szCs w:val="22"/>
        </w:rPr>
        <w:t>деревянные перекладины слева и справа;</w:t>
      </w:r>
    </w:p>
    <w:p w14:paraId="28BDE63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/>
          <w:szCs w:val="22"/>
        </w:rPr>
      </w:pPr>
      <w:r>
        <w:rPr>
          <w:szCs w:val="22"/>
        </w:rPr>
        <w:t>верхние продольные балки каркаса крыши из алюминия со специальными каналами для тента, средних стоек и уплотнительной резинки тента;</w:t>
      </w:r>
    </w:p>
    <w:p w14:paraId="4343596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сдвижной каркас крыши вперед и назад;</w:t>
      </w:r>
    </w:p>
    <w:p w14:paraId="02AA3E4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szCs w:val="22"/>
        </w:rPr>
      </w:pPr>
      <w:r>
        <w:rPr>
          <w:szCs w:val="22"/>
        </w:rPr>
        <w:t>крепление крыши тента к переднему козырьку через поворотные скобы и люверсы;</w:t>
      </w:r>
    </w:p>
    <w:p w14:paraId="74CCFD9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отдельно сдвижные каркас крыши и боковины тента (для более удобной боковой загрузки/разгрузки);</w:t>
      </w:r>
    </w:p>
    <w:p w14:paraId="52F1CEF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без возможности подъема каркаса крыши;</w:t>
      </w:r>
    </w:p>
    <w:p w14:paraId="28812C9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без возможности регулирования каркаса по высоте;</w:t>
      </w:r>
    </w:p>
    <w:p w14:paraId="5CDFF5E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без таможенного исполнения.</w:t>
      </w:r>
    </w:p>
    <w:p w14:paraId="391B78E3">
      <w:pPr>
        <w:tabs>
          <w:tab w:val="left" w:pos="360"/>
        </w:tabs>
        <w:rPr>
          <w:rFonts w:eastAsia="PMingLiU"/>
          <w:szCs w:val="22"/>
        </w:rPr>
      </w:pPr>
    </w:p>
    <w:p w14:paraId="10DCF22A">
      <w:pPr>
        <w:spacing w:line="276" w:lineRule="auto"/>
        <w:rPr>
          <w:rFonts w:eastAsia="Arial"/>
          <w:b/>
          <w:bCs/>
          <w:szCs w:val="22"/>
        </w:rPr>
      </w:pPr>
      <w:r>
        <w:rPr>
          <w:rFonts w:eastAsia="Arial"/>
          <w:b/>
          <w:szCs w:val="22"/>
          <w:u w:val="single"/>
        </w:rPr>
        <w:t>ЗАДНЯЯ СТЕНКА</w:t>
      </w:r>
    </w:p>
    <w:p w14:paraId="496D79A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алюминиевые двухстворчатые задние двери с двумя внутренними поворотными замками (штанги) на каждой дверной створке;</w:t>
      </w:r>
    </w:p>
    <w:p w14:paraId="1F089BA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открываются на 270 градусов;</w:t>
      </w:r>
    </w:p>
    <w:p w14:paraId="35B973C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стальные и резиновые отбойники на задней балке слева и справа;</w:t>
      </w:r>
    </w:p>
    <w:p w14:paraId="6CB200B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задние отбойники максимально сдвинуты в стороны;</w:t>
      </w:r>
    </w:p>
    <w:p w14:paraId="6E218AB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на задней стойке интегрирована коробка механической натяжки бокового тента;</w:t>
      </w:r>
    </w:p>
    <w:p w14:paraId="1B031E6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фиксаторы дверей в открытом положении;</w:t>
      </w:r>
    </w:p>
    <w:p w14:paraId="1985353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выдвижная лестница сзади справа.</w:t>
      </w:r>
    </w:p>
    <w:p w14:paraId="0A92D2D8">
      <w:pPr>
        <w:tabs>
          <w:tab w:val="left" w:pos="360"/>
        </w:tabs>
        <w:rPr>
          <w:rFonts w:eastAsia="PMingLiU"/>
          <w:b/>
          <w:szCs w:val="22"/>
          <w:u w:val="single"/>
        </w:rPr>
      </w:pPr>
    </w:p>
    <w:p w14:paraId="0E1B15C5">
      <w:pPr>
        <w:tabs>
          <w:tab w:val="left" w:pos="360"/>
        </w:tabs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БОРТА</w:t>
      </w:r>
    </w:p>
    <w:p w14:paraId="3690BC5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rFonts w:eastAsia="PMingLiU"/>
          <w:szCs w:val="22"/>
          <w:u w:val="single"/>
        </w:rPr>
      </w:pPr>
      <w:r>
        <w:rPr>
          <w:rFonts w:eastAsia="PMingLiU"/>
          <w:szCs w:val="22"/>
        </w:rPr>
        <w:t>без бортов.</w:t>
      </w:r>
    </w:p>
    <w:p w14:paraId="08DB4B23">
      <w:pPr>
        <w:tabs>
          <w:tab w:val="left" w:pos="360"/>
        </w:tabs>
        <w:rPr>
          <w:rFonts w:eastAsia="PMingLiU"/>
          <w:b/>
          <w:szCs w:val="22"/>
          <w:u w:val="single"/>
        </w:rPr>
      </w:pPr>
    </w:p>
    <w:p w14:paraId="7787CE05">
      <w:pPr>
        <w:tabs>
          <w:tab w:val="left" w:pos="360"/>
        </w:tabs>
        <w:rPr>
          <w:rFonts w:eastAsia="PMingLiU"/>
          <w:b/>
          <w:szCs w:val="22"/>
          <w:u w:val="single"/>
        </w:rPr>
      </w:pPr>
    </w:p>
    <w:p w14:paraId="0856F944">
      <w:pPr>
        <w:tabs>
          <w:tab w:val="left" w:pos="360"/>
        </w:tabs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ТЕНТ</w:t>
      </w:r>
    </w:p>
    <w:p w14:paraId="5D2579C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szCs w:val="22"/>
        </w:rPr>
      </w:pPr>
      <w:r>
        <w:rPr>
          <w:szCs w:val="22"/>
        </w:rPr>
        <w:t xml:space="preserve">тент из ПВХ, со светопропускающими полосами на крыше, без таможенного исполнения </w:t>
      </w:r>
      <w:r>
        <w:rPr>
          <w:bCs/>
          <w:szCs w:val="22"/>
        </w:rPr>
        <w:t>плотность тента 680-900 гр/м.кв</w:t>
      </w:r>
      <w:r>
        <w:rPr>
          <w:szCs w:val="22"/>
        </w:rPr>
        <w:t>;</w:t>
      </w:r>
    </w:p>
    <w:p w14:paraId="137E69C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боковой тент слева и справа в исполнении Curtainsider с устройством механического натяжения бокового тента на задней стойке (в нижней части тент с нахлестом для защиты от попадания грязи и влаги);</w:t>
      </w:r>
    </w:p>
    <w:p w14:paraId="2A7AA0D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боковины тента под крышей уплотнены специальным резиновым профилем (спереди профиль зафиксирован заклепками);</w:t>
      </w:r>
    </w:p>
    <w:p w14:paraId="3EE4BA5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боковины тента с вертикальными натяжными ремнями, расстояние ок. 600 мм. Крепления тента натяжными ремнями со стальными скобами к обвязке рамы.</w:t>
      </w:r>
    </w:p>
    <w:p w14:paraId="34A77905">
      <w:pPr>
        <w:tabs>
          <w:tab w:val="left" w:pos="360"/>
        </w:tabs>
        <w:rPr>
          <w:rFonts w:eastAsia="PMingLiU"/>
          <w:b/>
          <w:szCs w:val="22"/>
          <w:u w:val="single"/>
        </w:rPr>
      </w:pPr>
    </w:p>
    <w:p w14:paraId="5965C3DA">
      <w:pPr>
        <w:tabs>
          <w:tab w:val="left" w:pos="360"/>
        </w:tabs>
        <w:rPr>
          <w:rFonts w:eastAsia="PMingLiU"/>
          <w:b/>
          <w:szCs w:val="22"/>
          <w:u w:val="single"/>
        </w:rPr>
      </w:pPr>
      <w:r>
        <w:rPr>
          <w:rFonts w:eastAsia="PMingLiU"/>
          <w:b/>
          <w:szCs w:val="22"/>
          <w:u w:val="single"/>
        </w:rPr>
        <w:t>ПОКРАСКА</w:t>
      </w:r>
    </w:p>
    <w:p w14:paraId="3A53389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rPr>
          <w:szCs w:val="22"/>
        </w:rPr>
      </w:pPr>
      <w:r>
        <w:rPr>
          <w:szCs w:val="22"/>
        </w:rPr>
        <w:t>все стальные части перед покраской проходят дробеструйную обработку;</w:t>
      </w:r>
    </w:p>
    <w:p w14:paraId="03B41F4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Cs/>
          <w:szCs w:val="22"/>
        </w:rPr>
      </w:pPr>
      <w:r>
        <w:rPr>
          <w:szCs w:val="22"/>
        </w:rPr>
        <w:t>верхние продольные балки крыши из анодированных алюминиевых профилей серебристого цвета;</w:t>
      </w:r>
    </w:p>
    <w:p w14:paraId="3E0422F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Cs/>
          <w:szCs w:val="22"/>
        </w:rPr>
      </w:pPr>
      <w:r>
        <w:rPr>
          <w:bCs/>
          <w:szCs w:val="22"/>
        </w:rPr>
        <w:t xml:space="preserve">боковая защита из анодированных алюминиевых профилей в цвет шасси </w:t>
      </w:r>
    </w:p>
    <w:p w14:paraId="2426B45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Cs/>
          <w:szCs w:val="22"/>
        </w:rPr>
      </w:pPr>
      <w:r>
        <w:rPr>
          <w:szCs w:val="22"/>
        </w:rPr>
        <w:t>диски колес серебристого цвета;</w:t>
      </w:r>
    </w:p>
    <w:p w14:paraId="6B8A673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Cs/>
          <w:szCs w:val="22"/>
        </w:rPr>
      </w:pPr>
      <w:r>
        <w:rPr>
          <w:bCs/>
          <w:szCs w:val="22"/>
        </w:rPr>
        <w:t xml:space="preserve">цвет шасси, внешней обвязки рамы однотонный черный </w:t>
      </w:r>
      <w:r>
        <w:rPr>
          <w:bCs/>
          <w:szCs w:val="22"/>
          <w:shd w:val="clear" w:color="auto" w:fill="FFFFFF"/>
        </w:rPr>
        <w:t>(RAL 9005);</w:t>
      </w:r>
    </w:p>
    <w:p w14:paraId="0A91688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bCs/>
          <w:szCs w:val="22"/>
        </w:rPr>
        <w:t>цвет задних стоек, передней стенки, однотонный черный (RAL 9005);</w:t>
      </w:r>
    </w:p>
    <w:p w14:paraId="500B320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szCs w:val="22"/>
        </w:rPr>
      </w:pPr>
      <w:r>
        <w:rPr>
          <w:szCs w:val="22"/>
        </w:rPr>
        <w:t>цвет заднего защитного бруса в цвет шасси;</w:t>
      </w:r>
    </w:p>
    <w:p w14:paraId="481B417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  <w:between w:val="single" w:color="auto" w:sz="4" w:space="1"/>
        </w:pBdr>
        <w:tabs>
          <w:tab w:val="left" w:pos="360"/>
        </w:tabs>
        <w:rPr>
          <w:bCs/>
          <w:szCs w:val="22"/>
        </w:rPr>
      </w:pPr>
      <w:r>
        <w:rPr>
          <w:bCs/>
          <w:szCs w:val="22"/>
        </w:rPr>
        <w:t>цвет тента черный (RAL 9005), без рекламы.</w:t>
      </w:r>
    </w:p>
    <w:p w14:paraId="4E7E58EE">
      <w:pPr>
        <w:tabs>
          <w:tab w:val="left" w:pos="2552"/>
        </w:tabs>
        <w:spacing w:after="120"/>
        <w:rPr>
          <w:rFonts w:eastAsia="PMingLiU"/>
          <w:b/>
          <w:u w:val="single"/>
        </w:rPr>
      </w:pPr>
    </w:p>
    <w:p w14:paraId="60CBA608">
      <w:pPr>
        <w:tabs>
          <w:tab w:val="left" w:pos="2552"/>
        </w:tabs>
        <w:spacing w:after="120"/>
        <w:rPr>
          <w:rFonts w:eastAsia="PMingLiU"/>
          <w:b/>
          <w:u w:val="single"/>
          <w:lang w:val="zh-CN"/>
        </w:rPr>
      </w:pPr>
      <w:r>
        <w:rPr>
          <w:rFonts w:eastAsia="PMingLiU"/>
          <w:b/>
          <w:u w:val="single"/>
          <w:lang w:val="zh-CN"/>
        </w:rPr>
        <w:t>ДОПОЛНИТЕЛЬНОЕ ОБОРУДОВАНИЕ</w:t>
      </w:r>
    </w:p>
    <w:tbl>
      <w:tblPr>
        <w:tblStyle w:val="4"/>
        <w:tblW w:w="1049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0"/>
      </w:tblGrid>
      <w:tr w14:paraId="53CB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4A17D24E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крепление шнура тента на кронштейнах, слева и справа на передней стенке полуприцепа;</w:t>
            </w:r>
          </w:p>
        </w:tc>
      </w:tr>
      <w:tr w14:paraId="537B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19FEB4BE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сзади полуприцепа на нижних полках продольных лонжеронов расположены две паромные петли по одной слева и с права;</w:t>
            </w:r>
          </w:p>
        </w:tc>
      </w:tr>
      <w:tr w14:paraId="1A6E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3CAC2353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в верхней части средних стоек предусмотрены кронштейны для установки поперечных перекладин;</w:t>
            </w:r>
          </w:p>
        </w:tc>
      </w:tr>
      <w:tr w14:paraId="6F460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71240984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между средними стойками установлены поперечные перекладины;</w:t>
            </w:r>
          </w:p>
        </w:tc>
      </w:tr>
      <w:tr w14:paraId="798AD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60F841A0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в районе средних и задних стоек на обвязке рамы предусмотрены дополнительные места крепления адаптеров для диагонального стягивания каркаса ремнями;</w:t>
            </w:r>
          </w:p>
        </w:tc>
      </w:tr>
      <w:tr w14:paraId="4A3A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490F802F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4 ремня для диагонального стягивания каркаса;</w:t>
            </w:r>
          </w:p>
        </w:tc>
      </w:tr>
      <w:tr w14:paraId="641A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000BADBA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8 пар карманов на внешних балках рамы для вставных стоек размером 80х80х3;</w:t>
            </w:r>
          </w:p>
        </w:tc>
      </w:tr>
      <w:tr w14:paraId="2FA6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4A1E21A1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8 пар стоек 80х80;</w:t>
            </w:r>
          </w:p>
        </w:tc>
      </w:tr>
      <w:tr w14:paraId="3AEA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7FF6B792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ящик под стойки;</w:t>
            </w:r>
          </w:p>
        </w:tc>
      </w:tr>
      <w:tr w14:paraId="7BDED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7AB8F690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инструментальный ящик между тавров;</w:t>
            </w:r>
          </w:p>
        </w:tc>
      </w:tr>
      <w:tr w14:paraId="148F7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5080E61F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передняя стенка соединена цепью с первой поперечной перекладиной крыши;</w:t>
            </w:r>
          </w:p>
        </w:tc>
      </w:tr>
      <w:tr w14:paraId="4C87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008CF78E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2 фары рабочего освещения, вмонтированные в задний защитный брус;</w:t>
            </w:r>
          </w:p>
        </w:tc>
      </w:tr>
      <w:tr w14:paraId="0900A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shd w:val="clear" w:color="auto" w:fill="auto"/>
          </w:tcPr>
          <w:p w14:paraId="5A67C2FC">
            <w:pPr>
              <w:tabs>
                <w:tab w:val="left" w:pos="360"/>
                <w:tab w:val="left" w:pos="19800"/>
              </w:tabs>
              <w:rPr>
                <w:rFonts w:eastAsia="PMingLiU"/>
              </w:rPr>
            </w:pPr>
            <w:r>
              <w:rPr>
                <w:rFonts w:eastAsia="PMingLiU"/>
              </w:rPr>
              <w:t>брызговик на заднем защитном брусе с рекламой “MEUSBURGER”.</w:t>
            </w:r>
          </w:p>
        </w:tc>
      </w:tr>
    </w:tbl>
    <w:p w14:paraId="679F69DF">
      <w:pPr>
        <w:jc w:val="center"/>
        <w:rPr>
          <w:szCs w:val="22"/>
        </w:rPr>
      </w:pPr>
    </w:p>
    <w:p w14:paraId="566480F3">
      <w:pPr>
        <w:tabs>
          <w:tab w:val="left" w:pos="2552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  <w:shd w:val="clear" w:color="auto" w:fill="FFFFFF"/>
        </w:rPr>
        <w:t>Цена с завода в Великом Новгороде 6</w:t>
      </w:r>
      <w:r>
        <w:rPr>
          <w:rFonts w:hint="default"/>
          <w:b/>
          <w:sz w:val="26"/>
          <w:szCs w:val="26"/>
          <w:u w:val="single"/>
          <w:shd w:val="clear" w:color="auto" w:fill="FFFFFF"/>
          <w:lang w:val="en-US"/>
        </w:rPr>
        <w:t>7</w:t>
      </w:r>
      <w:r>
        <w:rPr>
          <w:b/>
          <w:sz w:val="26"/>
          <w:szCs w:val="26"/>
          <w:u w:val="single"/>
          <w:shd w:val="clear" w:color="auto" w:fill="FFFFFF"/>
        </w:rPr>
        <w:t xml:space="preserve"> 000,00 евро по курсу ЦБ РФ на день оплаты</w:t>
      </w:r>
      <w:r>
        <w:rPr>
          <w:b/>
          <w:sz w:val="26"/>
          <w:szCs w:val="26"/>
        </w:rPr>
        <w:t>.</w:t>
      </w:r>
    </w:p>
    <w:p w14:paraId="59DF8D67">
      <w:pPr>
        <w:tabs>
          <w:tab w:val="left" w:pos="2552"/>
        </w:tabs>
        <w:jc w:val="both"/>
        <w:rPr>
          <w:b/>
          <w:sz w:val="26"/>
          <w:szCs w:val="26"/>
          <w:u w:val="single"/>
          <w:shd w:val="clear" w:color="auto" w:fill="FFFFFF"/>
        </w:rPr>
      </w:pPr>
      <w:r>
        <w:rPr>
          <w:b/>
          <w:sz w:val="26"/>
          <w:szCs w:val="26"/>
        </w:rPr>
        <w:t xml:space="preserve"> Цена указана с учетом НДС</w:t>
      </w:r>
    </w:p>
    <w:p w14:paraId="1C704400">
      <w:pPr>
        <w:pStyle w:val="32"/>
        <w:rPr>
          <w:sz w:val="22"/>
          <w:szCs w:val="22"/>
        </w:rPr>
      </w:pPr>
      <w:r>
        <w:rPr>
          <w:sz w:val="22"/>
          <w:szCs w:val="22"/>
        </w:rPr>
        <w:t>Сертификация</w:t>
      </w:r>
    </w:p>
    <w:p w14:paraId="469DD2D7">
      <w:pPr>
        <w:jc w:val="both"/>
        <w:rPr>
          <w:b/>
          <w:szCs w:val="22"/>
          <w:u w:val="single"/>
        </w:rPr>
      </w:pPr>
      <w:r>
        <w:rPr>
          <w:szCs w:val="22"/>
        </w:rPr>
        <w:t>Полуприцепы «НОВТРАК» сертифицированы Госстандартом РФ в соответствии с последними правилами ЕЭК ООН.</w:t>
      </w:r>
    </w:p>
    <w:p w14:paraId="066A3775">
      <w:pPr>
        <w:rPr>
          <w:b/>
          <w:szCs w:val="22"/>
          <w:u w:val="single"/>
        </w:rPr>
      </w:pPr>
    </w:p>
    <w:p w14:paraId="76B78BDA">
      <w:pPr>
        <w:rPr>
          <w:color w:val="000000"/>
          <w:szCs w:val="22"/>
        </w:rPr>
      </w:pPr>
      <w:r>
        <w:rPr>
          <w:b/>
          <w:szCs w:val="22"/>
          <w:u w:val="single"/>
        </w:rPr>
        <w:t>Гарантия</w:t>
      </w:r>
    </w:p>
    <w:p w14:paraId="1F5E8F66">
      <w:pPr>
        <w:jc w:val="both"/>
        <w:rPr>
          <w:b/>
          <w:szCs w:val="22"/>
          <w:u w:val="single"/>
        </w:rPr>
      </w:pPr>
      <w:r>
        <w:rPr>
          <w:color w:val="000000"/>
          <w:szCs w:val="22"/>
        </w:rPr>
        <w:t>Гарантийный срок на полуприцеп -  12 месяцев с момента продажи без ограничения пробега.</w:t>
      </w:r>
    </w:p>
    <w:p w14:paraId="05D1B56C">
      <w:pPr>
        <w:rPr>
          <w:b/>
          <w:szCs w:val="22"/>
          <w:u w:val="single"/>
        </w:rPr>
      </w:pPr>
    </w:p>
    <w:p w14:paraId="7F390DC0">
      <w:pPr>
        <w:rPr>
          <w:szCs w:val="22"/>
        </w:rPr>
      </w:pPr>
      <w:r>
        <w:rPr>
          <w:b/>
          <w:szCs w:val="22"/>
          <w:u w:val="single"/>
        </w:rPr>
        <w:t>Сервисное обслуживание</w:t>
      </w:r>
    </w:p>
    <w:p w14:paraId="7F0DE2AA">
      <w:pPr>
        <w:jc w:val="both"/>
        <w:rPr>
          <w:b/>
          <w:bCs/>
          <w:szCs w:val="22"/>
        </w:rPr>
      </w:pPr>
      <w:r>
        <w:rPr>
          <w:szCs w:val="22"/>
        </w:rPr>
        <w:t>Гарантийное и послегарантийное техническое обслуживание производится на сервисной станции завода «НОВТРАК». По взаимному согласованию возможны другие варианты на станциях сервис-партнеров «</w:t>
      </w:r>
      <w:r>
        <w:rPr>
          <w:szCs w:val="22"/>
          <w:lang w:val="en-US"/>
        </w:rPr>
        <w:t>Meusburger</w:t>
      </w:r>
      <w:r>
        <w:rPr>
          <w:szCs w:val="22"/>
        </w:rPr>
        <w:t xml:space="preserve"> Новтрак».</w:t>
      </w:r>
    </w:p>
    <w:p w14:paraId="1F75C830">
      <w:pPr>
        <w:tabs>
          <w:tab w:val="left" w:pos="-1035"/>
        </w:tabs>
        <w:ind w:left="-15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Место отгрузки: </w:t>
      </w:r>
      <w:r>
        <w:rPr>
          <w:b/>
          <w:sz w:val="26"/>
          <w:szCs w:val="26"/>
        </w:rPr>
        <w:t>173008, Великий Новгород, ул. Магистральная д.15</w:t>
      </w:r>
    </w:p>
    <w:p w14:paraId="4C0685C3">
      <w:pPr>
        <w:pStyle w:val="35"/>
        <w:widowControl/>
        <w:spacing w:before="120"/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Условия оплаты: 10 % платеж до 3</w:t>
      </w:r>
      <w:r>
        <w:rPr>
          <w:rFonts w:hint="default"/>
          <w:b/>
          <w:bCs/>
          <w:sz w:val="26"/>
          <w:szCs w:val="26"/>
          <w:lang w:val="en-US"/>
        </w:rPr>
        <w:t>1</w:t>
      </w:r>
      <w:r>
        <w:rPr>
          <w:b/>
          <w:bCs/>
          <w:sz w:val="26"/>
          <w:szCs w:val="26"/>
        </w:rPr>
        <w:t>.</w:t>
      </w:r>
      <w:r>
        <w:rPr>
          <w:rFonts w:hint="default"/>
          <w:b/>
          <w:bCs/>
          <w:sz w:val="26"/>
          <w:szCs w:val="26"/>
          <w:lang w:val="en-US"/>
        </w:rPr>
        <w:t>10</w:t>
      </w:r>
      <w:r>
        <w:rPr>
          <w:b/>
          <w:bCs/>
          <w:sz w:val="26"/>
          <w:szCs w:val="26"/>
        </w:rPr>
        <w:t xml:space="preserve">.2024 г. </w:t>
      </w:r>
    </w:p>
    <w:p w14:paraId="489ADBA2">
      <w:pPr>
        <w:pStyle w:val="35"/>
        <w:widowControl/>
        <w:spacing w:before="120"/>
        <w:ind w:left="360"/>
        <w:rPr>
          <w:b/>
          <w:bCs/>
          <w:sz w:val="26"/>
          <w:szCs w:val="26"/>
        </w:rPr>
      </w:pPr>
    </w:p>
    <w:p w14:paraId="56ACFCD7">
      <w:pPr>
        <w:ind w:left="527"/>
        <w:rPr>
          <w:color w:val="000000"/>
          <w:sz w:val="20"/>
          <w:lang w:val="pl-PL" w:eastAsia="en-US"/>
        </w:rPr>
      </w:pPr>
      <w:r>
        <w:rPr>
          <w:color w:val="000000"/>
        </w:rPr>
        <w:t xml:space="preserve">С </w:t>
      </w:r>
      <w:r>
        <w:rPr>
          <w:color w:val="000000"/>
          <w:lang w:val="pl-PL"/>
        </w:rPr>
        <w:t>уважением, Карнаков Вячеслав Владимирович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директор ООО "МаксКар"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8 (383) 233-32-53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8-913-752-39-76</w:t>
      </w:r>
      <w:r>
        <w:rPr>
          <w:sz w:val="24"/>
          <w:szCs w:val="24"/>
          <w:lang w:val="pl-PL" w:eastAsia="ru-RU"/>
        </w:rPr>
        <w:t xml:space="preserve"> </w:t>
      </w:r>
    </w:p>
    <w:p w14:paraId="5C9AE5CC">
      <w:pPr>
        <w:ind w:left="527"/>
        <w:rPr>
          <w:color w:val="000000"/>
          <w:sz w:val="24"/>
          <w:szCs w:val="24"/>
        </w:rPr>
      </w:pPr>
      <w:r>
        <w:rPr>
          <w:color w:val="000000"/>
          <w:lang w:val="pl-PL"/>
        </w:rPr>
        <w:t>8-913-477-09-39 (служебный)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 xml:space="preserve">стоянка – </w:t>
      </w:r>
      <w:r>
        <w:rPr>
          <w:color w:val="000000"/>
        </w:rPr>
        <w:t xml:space="preserve">Федеральная трасса Р-254, </w:t>
      </w:r>
    </w:p>
    <w:p w14:paraId="2FB639AE">
      <w:pPr>
        <w:ind w:left="527"/>
        <w:rPr>
          <w:color w:val="000000"/>
          <w:szCs w:val="22"/>
          <w:lang w:eastAsia="ru-RU"/>
        </w:rPr>
      </w:pPr>
      <w:r>
        <w:rPr>
          <w:color w:val="000000"/>
          <w:lang w:val="pl-PL"/>
        </w:rPr>
        <w:t xml:space="preserve">северный </w:t>
      </w:r>
      <w:r>
        <w:rPr>
          <w:color w:val="000000"/>
        </w:rPr>
        <w:t>обход Новосибирска</w:t>
      </w:r>
      <w:r>
        <w:rPr>
          <w:color w:val="000000"/>
          <w:lang w:val="pl-PL"/>
        </w:rPr>
        <w:t xml:space="preserve">, </w:t>
      </w:r>
    </w:p>
    <w:p w14:paraId="3C43F99B">
      <w:pPr>
        <w:ind w:left="527"/>
        <w:rPr>
          <w:color w:val="000000"/>
          <w:sz w:val="24"/>
          <w:szCs w:val="24"/>
        </w:rPr>
      </w:pPr>
      <w:r>
        <w:rPr>
          <w:color w:val="000000"/>
        </w:rPr>
        <w:t xml:space="preserve">п. Садовый, ул. Пасечная, 10, </w:t>
      </w:r>
    </w:p>
    <w:p w14:paraId="10C8BB99">
      <w:pPr>
        <w:ind w:left="527"/>
        <w:rPr>
          <w:color w:val="000000"/>
          <w:szCs w:val="22"/>
          <w:lang w:eastAsia="ru-RU"/>
        </w:rPr>
      </w:pPr>
      <w:r>
        <w:rPr>
          <w:color w:val="000000"/>
        </w:rPr>
        <w:t>(пост ГИБДД, гостиница «У самовара»)</w:t>
      </w:r>
      <w:r>
        <w:rPr>
          <w:color w:val="000000"/>
          <w:lang w:val="pl-PL"/>
        </w:rPr>
        <w:br w:type="textWrapping"/>
      </w:r>
      <w:r>
        <w:fldChar w:fldCharType="begin"/>
      </w:r>
      <w:r>
        <w:instrText xml:space="preserve"> HYPERLINK "mailto:maxcar54@mail.ru" </w:instrText>
      </w:r>
      <w:r>
        <w:fldChar w:fldCharType="separate"/>
      </w:r>
      <w:r>
        <w:rPr>
          <w:rStyle w:val="5"/>
          <w:lang w:val="pl-PL"/>
        </w:rPr>
        <w:t>maxcar54@mail.r</w:t>
      </w:r>
      <w:r>
        <w:rPr>
          <w:rStyle w:val="5"/>
          <w:lang w:val="en-US"/>
        </w:rPr>
        <w:t>u</w:t>
      </w:r>
      <w:r>
        <w:rPr>
          <w:rStyle w:val="5"/>
          <w:lang w:val="en-US"/>
        </w:rPr>
        <w:fldChar w:fldCharType="end"/>
      </w:r>
    </w:p>
    <w:p w14:paraId="6D6F2112">
      <w:pPr>
        <w:ind w:left="527"/>
        <w:rPr>
          <w:rFonts w:ascii="Calibri" w:hAnsi="Calibri" w:cs="Calibri"/>
          <w:color w:val="000000"/>
          <w:lang w:eastAsia="en-US"/>
        </w:rPr>
      </w:pPr>
      <w:r>
        <w:fldChar w:fldCharType="begin"/>
      </w:r>
      <w:r>
        <w:instrText xml:space="preserve"> HYPERLINK "http://www.maxcar54.ru" \t "_blank" </w:instrText>
      </w:r>
      <w:r>
        <w:fldChar w:fldCharType="separate"/>
      </w:r>
      <w:r>
        <w:rPr>
          <w:rStyle w:val="5"/>
          <w:lang w:val="pl-PL"/>
        </w:rPr>
        <w:t>www.maxcar54.ru</w:t>
      </w:r>
      <w:r>
        <w:rPr>
          <w:rStyle w:val="5"/>
          <w:lang w:val="pl-PL"/>
        </w:rPr>
        <w:fldChar w:fldCharType="end"/>
      </w:r>
    </w:p>
    <w:p w14:paraId="0C75551C">
      <w:pPr>
        <w:autoSpaceDE w:val="0"/>
        <w:autoSpaceDN w:val="0"/>
        <w:ind w:left="527"/>
      </w:pPr>
      <w:r>
        <w:fldChar w:fldCharType="begin"/>
      </w:r>
      <w:r>
        <w:instrText xml:space="preserve"> HYPERLINK "https://www.youtube.com/channel/UCIiFI5uro5xB8fkw0N0pyRg/videos" </w:instrText>
      </w:r>
      <w:r>
        <w:fldChar w:fldCharType="separate"/>
      </w:r>
      <w:r>
        <w:rPr>
          <w:rStyle w:val="5"/>
        </w:rPr>
        <w:t>https://www.youtube.com/channel/UCIiFI5uro5xB8fkw0N0pyRg/videos</w:t>
      </w:r>
      <w:r>
        <w:rPr>
          <w:rStyle w:val="5"/>
        </w:rPr>
        <w:fldChar w:fldCharType="end"/>
      </w:r>
    </w:p>
    <w:p w14:paraId="0703614B">
      <w:pPr>
        <w:ind w:left="527"/>
        <w:rPr>
          <w:rFonts w:eastAsia="TimesNewRomanPS-BoldMT"/>
          <w:sz w:val="24"/>
          <w:szCs w:val="24"/>
          <w:lang w:eastAsia="ru-RU"/>
        </w:rPr>
      </w:pPr>
      <w:r>
        <w:fldChar w:fldCharType="begin"/>
      </w:r>
      <w:r>
        <w:instrText xml:space="preserve"> HYPERLINK "https://www.instagram.com/maxcar54ru/" </w:instrText>
      </w:r>
      <w:r>
        <w:fldChar w:fldCharType="separate"/>
      </w:r>
      <w:r>
        <w:rPr>
          <w:rStyle w:val="5"/>
        </w:rPr>
        <w:t>https://www.instagram.com/maxcar54ru/</w:t>
      </w:r>
      <w:r>
        <w:rPr>
          <w:rStyle w:val="5"/>
        </w:rPr>
        <w:fldChar w:fldCharType="end"/>
      </w:r>
    </w:p>
    <w:p w14:paraId="09922F97">
      <w:pPr>
        <w:rPr>
          <w:rFonts w:eastAsia="TimesNewRomanPS-BoldMT"/>
          <w:sz w:val="24"/>
          <w:szCs w:val="24"/>
          <w:lang w:eastAsia="ru-RU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80" w:right="746" w:bottom="180" w:left="900" w:header="166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NewRomanPS-Bold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16D66">
    <w:pPr>
      <w:widowControl/>
      <w:suppressAutoHyphens w:val="0"/>
      <w:rPr>
        <w:b/>
        <w:sz w:val="20"/>
        <w:lang w:eastAsia="ru-RU"/>
      </w:rPr>
    </w:pPr>
    <w:r>
      <w:rPr>
        <w:sz w:val="24"/>
        <w:szCs w:val="24"/>
        <w:lang w:eastAsia="ru-RU"/>
      </w:rPr>
      <w:t>_____________________________________________________________________________________</w:t>
    </w:r>
  </w:p>
  <w:p w14:paraId="60A951A7">
    <w:pPr>
      <w:jc w:val="both"/>
      <w:rPr>
        <w:sz w:val="20"/>
      </w:rPr>
    </w:pPr>
    <w:r>
      <w:rPr>
        <w:sz w:val="20"/>
        <w:lang w:eastAsia="ru-RU"/>
      </w:rPr>
      <w:t xml:space="preserve">Юридический адрес: </w:t>
    </w:r>
    <w:r>
      <w:rPr>
        <w:sz w:val="20"/>
      </w:rPr>
      <w:t>630040, Новосибирская область, Новосибирский район, п. Озерный, ул. Промышленная, дом № 6, корпус 1, этаж 2</w:t>
    </w:r>
    <w:r>
      <w:rPr>
        <w:sz w:val="20"/>
        <w:lang w:eastAsia="ru-RU"/>
      </w:rPr>
      <w:t xml:space="preserve">, тел. (383) 233-32-53, </w:t>
    </w:r>
    <w:r>
      <w:fldChar w:fldCharType="begin"/>
    </w:r>
    <w:r>
      <w:instrText xml:space="preserve"> HYPERLINK "mailto:maxcar54@mail.ru" </w:instrText>
    </w:r>
    <w:r>
      <w:fldChar w:fldCharType="separate"/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54@</w:t>
    </w:r>
    <w:r>
      <w:rPr>
        <w:rStyle w:val="5"/>
        <w:sz w:val="20"/>
        <w:lang w:val="en-US" w:eastAsia="ru-RU"/>
      </w:rPr>
      <w:t>mail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, </w:t>
    </w:r>
    <w:r>
      <w:fldChar w:fldCharType="begin"/>
    </w:r>
    <w:r>
      <w:instrText xml:space="preserve"> HYPERLINK "http://www.maxcar54.ru" </w:instrText>
    </w:r>
    <w:r>
      <w:fldChar w:fldCharType="separate"/>
    </w:r>
    <w:r>
      <w:rPr>
        <w:rStyle w:val="5"/>
        <w:sz w:val="20"/>
        <w:lang w:val="en-US" w:eastAsia="ru-RU"/>
      </w:rPr>
      <w:t>www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54.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</w:rPr>
      <w:t>, Представительство в г. Москва: Люберцы, Новорязанское шоссе, 13,</w:t>
    </w:r>
    <w:r>
      <w:rPr>
        <w:sz w:val="20"/>
        <w:lang w:eastAsia="ru-RU"/>
      </w:rPr>
      <w:t xml:space="preserve"> +7-985-848-44-28, </w:t>
    </w:r>
    <w:r>
      <w:fldChar w:fldCharType="begin"/>
    </w:r>
    <w:r>
      <w:instrText xml:space="preserve"> HYPERLINK "mailto:maxcar177@mail.ru" </w:instrText>
    </w:r>
    <w:r>
      <w:fldChar w:fldCharType="separate"/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177@</w:t>
    </w:r>
    <w:r>
      <w:rPr>
        <w:rStyle w:val="5"/>
        <w:sz w:val="20"/>
        <w:lang w:val="en-US" w:eastAsia="ru-RU"/>
      </w:rPr>
      <w:t>mail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; ИНН 5406440450/КПП 543301001, р/с </w:t>
    </w:r>
    <w:r>
      <w:rPr>
        <w:sz w:val="20"/>
      </w:rPr>
      <w:t>40702810007000013734</w:t>
    </w:r>
    <w:r>
      <w:rPr>
        <w:sz w:val="20"/>
        <w:lang w:eastAsia="ru-RU"/>
      </w:rPr>
      <w:t xml:space="preserve"> </w:t>
    </w:r>
    <w:r>
      <w:rPr>
        <w:rStyle w:val="31"/>
        <w:sz w:val="20"/>
      </w:rPr>
      <w:t xml:space="preserve">в </w:t>
    </w:r>
    <w:r>
      <w:rPr>
        <w:sz w:val="20"/>
      </w:rPr>
      <w:t>Сибирский филиал АО "Райффайзенбанк",  30101810300000000799, БИК 045004799</w:t>
    </w:r>
    <w:r>
      <w:rPr>
        <w:sz w:val="20"/>
        <w:lang w:eastAsia="ru-RU"/>
      </w:rPr>
      <w:t>, ОГРН 1085406017212, ОКВЭД 45.10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9D72F">
    <w:pPr>
      <w:pStyle w:val="11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8E6544A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0548" w:type="dxa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68"/>
      <w:gridCol w:w="10080"/>
    </w:tblGrid>
    <w:tr w14:paraId="1DC27F2D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800" w:hRule="atLeast"/>
      </w:trPr>
      <w:tc>
        <w:tcPr>
          <w:tcW w:w="468" w:type="dxa"/>
        </w:tcPr>
        <w:p w14:paraId="74B84F44">
          <w:pPr>
            <w:widowControl/>
            <w:suppressAutoHyphens w:val="0"/>
            <w:jc w:val="center"/>
            <w:rPr>
              <w:b/>
              <w:sz w:val="28"/>
              <w:szCs w:val="28"/>
              <w:lang w:eastAsia="ru-RU"/>
            </w:rPr>
          </w:pPr>
          <w:r>
            <w:rPr>
              <w:lang w:eastAsia="ru-RU"/>
            </w:rPr>
            <w:pict>
              <v:shape id="_x0000_s4097" o:spid="_x0000_s4097" o:spt="75" type="#_x0000_t75" style="position:absolute;left:0pt;margin-left:-9pt;margin-top:-8.3pt;height:64.35pt;width:450pt;z-index:-251657216;mso-width-relative:page;mso-height-relative:page;" filled="f" o:preferrelative="t" stroked="f" coordsize="21600,21600">
                <v:path/>
                <v:fill on="f" focussize="0,0"/>
                <v:stroke on="f" joinstyle="miter"/>
                <v:imagedata r:id="rId1" o:title=""/>
                <o:lock v:ext="edit" aspectratio="t"/>
              </v:shape>
            </w:pict>
          </w:r>
        </w:p>
      </w:tc>
      <w:tc>
        <w:tcPr>
          <w:tcW w:w="10080" w:type="dxa"/>
        </w:tcPr>
        <w:p w14:paraId="3355224E">
          <w:pPr>
            <w:widowControl/>
            <w:tabs>
              <w:tab w:val="left" w:pos="6690"/>
            </w:tabs>
            <w:suppressAutoHyphens w:val="0"/>
            <w:rPr>
              <w:b/>
              <w:sz w:val="28"/>
              <w:szCs w:val="28"/>
              <w:lang w:eastAsia="ru-RU"/>
            </w:rPr>
          </w:pPr>
          <w:r>
            <w:rPr>
              <w:b/>
              <w:sz w:val="28"/>
              <w:szCs w:val="28"/>
              <w:lang w:eastAsia="ru-RU"/>
            </w:rPr>
            <w:tab/>
          </w:r>
          <w:r>
            <w:rPr>
              <w:b/>
              <w:sz w:val="28"/>
              <w:szCs w:val="28"/>
              <w:lang w:eastAsia="ru-RU"/>
            </w:rPr>
            <w:t xml:space="preserve">            </w:t>
          </w:r>
          <w:r>
            <w:rPr>
              <w:sz w:val="20"/>
              <w:lang w:eastAsia="ru-RU"/>
            </w:rPr>
            <w:pict>
              <v:shape id="_x0000_i1027" o:spt="75" type="#_x0000_t75" style="height:93pt;width:110.4pt;" filled="f" o:preferrelative="t" stroked="f" coordsize="21600,21600">
                <v:path/>
                <v:fill on="f" focussize="0,0"/>
                <v:stroke on="f" joinstyle="miter"/>
                <v:imagedata r:id="rId2" o:title=""/>
                <o:lock v:ext="edit" aspectratio="t"/>
                <w10:wrap type="none"/>
                <w10:anchorlock/>
              </v:shape>
            </w:pict>
          </w:r>
        </w:p>
        <w:p w14:paraId="67D6E48A">
          <w:pPr>
            <w:widowControl/>
            <w:suppressAutoHyphens w:val="0"/>
            <w:ind w:left="-285" w:hanging="3"/>
            <w:jc w:val="center"/>
            <w:rPr>
              <w:b/>
              <w:sz w:val="20"/>
              <w:lang w:eastAsia="ru-RU"/>
            </w:rPr>
          </w:pPr>
          <w:r>
            <w:rPr>
              <w:b/>
              <w:sz w:val="28"/>
              <w:szCs w:val="28"/>
              <w:lang w:eastAsia="ru-RU"/>
            </w:rPr>
            <w:t>Общество с ограниченной ответственностью « МаксКар»</w:t>
          </w:r>
        </w:p>
      </w:tc>
    </w:tr>
  </w:tbl>
  <w:p w14:paraId="747B8C62">
    <w:pPr>
      <w:widowControl/>
      <w:suppressAutoHyphens w:val="0"/>
      <w:jc w:val="center"/>
      <w:rPr>
        <w:sz w:val="20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950C82"/>
    <w:multiLevelType w:val="multilevel"/>
    <w:tmpl w:val="4A950C82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08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562"/>
    <w:rsid w:val="0000005E"/>
    <w:rsid w:val="000008AC"/>
    <w:rsid w:val="00001727"/>
    <w:rsid w:val="0000608A"/>
    <w:rsid w:val="000063BD"/>
    <w:rsid w:val="000137F3"/>
    <w:rsid w:val="00016C3C"/>
    <w:rsid w:val="00020CB5"/>
    <w:rsid w:val="00020CFE"/>
    <w:rsid w:val="000224B5"/>
    <w:rsid w:val="00023B28"/>
    <w:rsid w:val="00024348"/>
    <w:rsid w:val="00034D5A"/>
    <w:rsid w:val="00042734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3E91"/>
    <w:rsid w:val="00054E77"/>
    <w:rsid w:val="000605F0"/>
    <w:rsid w:val="00062A08"/>
    <w:rsid w:val="00065761"/>
    <w:rsid w:val="0006671C"/>
    <w:rsid w:val="00066FBC"/>
    <w:rsid w:val="00067962"/>
    <w:rsid w:val="0007111D"/>
    <w:rsid w:val="00073F6F"/>
    <w:rsid w:val="00074699"/>
    <w:rsid w:val="00075964"/>
    <w:rsid w:val="00080DD6"/>
    <w:rsid w:val="00081F98"/>
    <w:rsid w:val="00082229"/>
    <w:rsid w:val="000853D8"/>
    <w:rsid w:val="00087975"/>
    <w:rsid w:val="00092108"/>
    <w:rsid w:val="00093471"/>
    <w:rsid w:val="00094C9C"/>
    <w:rsid w:val="0009647B"/>
    <w:rsid w:val="000A145A"/>
    <w:rsid w:val="000A6286"/>
    <w:rsid w:val="000A6864"/>
    <w:rsid w:val="000A6BC0"/>
    <w:rsid w:val="000B0567"/>
    <w:rsid w:val="000B7D8F"/>
    <w:rsid w:val="000C01C8"/>
    <w:rsid w:val="000C1EF1"/>
    <w:rsid w:val="000C34FB"/>
    <w:rsid w:val="000C4013"/>
    <w:rsid w:val="000C427F"/>
    <w:rsid w:val="000C4491"/>
    <w:rsid w:val="000D0D39"/>
    <w:rsid w:val="000D17A9"/>
    <w:rsid w:val="000D19C9"/>
    <w:rsid w:val="000D1CE7"/>
    <w:rsid w:val="000D2FB4"/>
    <w:rsid w:val="000D3451"/>
    <w:rsid w:val="000D36FD"/>
    <w:rsid w:val="000D3AC1"/>
    <w:rsid w:val="000D4C0C"/>
    <w:rsid w:val="000D6965"/>
    <w:rsid w:val="000D7F14"/>
    <w:rsid w:val="000E0B64"/>
    <w:rsid w:val="000E611F"/>
    <w:rsid w:val="000E7586"/>
    <w:rsid w:val="000F1ED1"/>
    <w:rsid w:val="000F7199"/>
    <w:rsid w:val="00103B53"/>
    <w:rsid w:val="00105EB8"/>
    <w:rsid w:val="001071BB"/>
    <w:rsid w:val="001105E8"/>
    <w:rsid w:val="00116860"/>
    <w:rsid w:val="00120656"/>
    <w:rsid w:val="00120A10"/>
    <w:rsid w:val="0012144B"/>
    <w:rsid w:val="00121FE6"/>
    <w:rsid w:val="00123CC3"/>
    <w:rsid w:val="00130EC0"/>
    <w:rsid w:val="001341D2"/>
    <w:rsid w:val="00136E12"/>
    <w:rsid w:val="00137761"/>
    <w:rsid w:val="0014052A"/>
    <w:rsid w:val="00140D09"/>
    <w:rsid w:val="00150189"/>
    <w:rsid w:val="00151C1C"/>
    <w:rsid w:val="00155E0C"/>
    <w:rsid w:val="001563E7"/>
    <w:rsid w:val="001568CC"/>
    <w:rsid w:val="00157CDC"/>
    <w:rsid w:val="0016191D"/>
    <w:rsid w:val="00163105"/>
    <w:rsid w:val="00164706"/>
    <w:rsid w:val="00165386"/>
    <w:rsid w:val="001665D0"/>
    <w:rsid w:val="00167BB0"/>
    <w:rsid w:val="00173C3B"/>
    <w:rsid w:val="0018244C"/>
    <w:rsid w:val="00183BF0"/>
    <w:rsid w:val="00185EFA"/>
    <w:rsid w:val="001870E7"/>
    <w:rsid w:val="00187311"/>
    <w:rsid w:val="00191EDB"/>
    <w:rsid w:val="00192031"/>
    <w:rsid w:val="001931A6"/>
    <w:rsid w:val="00194181"/>
    <w:rsid w:val="00195C96"/>
    <w:rsid w:val="001A093C"/>
    <w:rsid w:val="001A0B13"/>
    <w:rsid w:val="001A15D8"/>
    <w:rsid w:val="001A18CF"/>
    <w:rsid w:val="001A5C65"/>
    <w:rsid w:val="001B0395"/>
    <w:rsid w:val="001B0B5D"/>
    <w:rsid w:val="001B0F49"/>
    <w:rsid w:val="001B22A1"/>
    <w:rsid w:val="001B2FC9"/>
    <w:rsid w:val="001C23A7"/>
    <w:rsid w:val="001C36C6"/>
    <w:rsid w:val="001C380E"/>
    <w:rsid w:val="001C562B"/>
    <w:rsid w:val="001D0894"/>
    <w:rsid w:val="001D2708"/>
    <w:rsid w:val="001D3679"/>
    <w:rsid w:val="001D51A2"/>
    <w:rsid w:val="001E1110"/>
    <w:rsid w:val="001E1AD3"/>
    <w:rsid w:val="001E362B"/>
    <w:rsid w:val="001E700B"/>
    <w:rsid w:val="001F1115"/>
    <w:rsid w:val="001F1235"/>
    <w:rsid w:val="001F2DF4"/>
    <w:rsid w:val="001F61F2"/>
    <w:rsid w:val="001F73B9"/>
    <w:rsid w:val="001F7756"/>
    <w:rsid w:val="002027EF"/>
    <w:rsid w:val="00204814"/>
    <w:rsid w:val="00212E80"/>
    <w:rsid w:val="00214427"/>
    <w:rsid w:val="002205CA"/>
    <w:rsid w:val="00220B5D"/>
    <w:rsid w:val="002232D1"/>
    <w:rsid w:val="00223ABC"/>
    <w:rsid w:val="00223C10"/>
    <w:rsid w:val="0022450B"/>
    <w:rsid w:val="00225978"/>
    <w:rsid w:val="00227E10"/>
    <w:rsid w:val="00234743"/>
    <w:rsid w:val="00240ABA"/>
    <w:rsid w:val="00242AC7"/>
    <w:rsid w:val="002438F6"/>
    <w:rsid w:val="002440F3"/>
    <w:rsid w:val="002453BE"/>
    <w:rsid w:val="00247435"/>
    <w:rsid w:val="00247CC6"/>
    <w:rsid w:val="00250191"/>
    <w:rsid w:val="00251BC9"/>
    <w:rsid w:val="00252122"/>
    <w:rsid w:val="00260BFA"/>
    <w:rsid w:val="002617BD"/>
    <w:rsid w:val="00264F95"/>
    <w:rsid w:val="00265B3C"/>
    <w:rsid w:val="00266F69"/>
    <w:rsid w:val="0026797D"/>
    <w:rsid w:val="00272C93"/>
    <w:rsid w:val="002756A9"/>
    <w:rsid w:val="0028331E"/>
    <w:rsid w:val="00283BA8"/>
    <w:rsid w:val="002849BD"/>
    <w:rsid w:val="00286056"/>
    <w:rsid w:val="00295E69"/>
    <w:rsid w:val="0029708E"/>
    <w:rsid w:val="002A1A60"/>
    <w:rsid w:val="002A207A"/>
    <w:rsid w:val="002A5F92"/>
    <w:rsid w:val="002A731C"/>
    <w:rsid w:val="002B4709"/>
    <w:rsid w:val="002B4F91"/>
    <w:rsid w:val="002B5559"/>
    <w:rsid w:val="002B6159"/>
    <w:rsid w:val="002B6160"/>
    <w:rsid w:val="002D301C"/>
    <w:rsid w:val="002D6FA5"/>
    <w:rsid w:val="002D7460"/>
    <w:rsid w:val="002D7EB1"/>
    <w:rsid w:val="002E2602"/>
    <w:rsid w:val="002E4277"/>
    <w:rsid w:val="002E50ED"/>
    <w:rsid w:val="002E65A5"/>
    <w:rsid w:val="002E7C8A"/>
    <w:rsid w:val="002F1430"/>
    <w:rsid w:val="002F2FDD"/>
    <w:rsid w:val="003018B5"/>
    <w:rsid w:val="00303BD3"/>
    <w:rsid w:val="00303DCF"/>
    <w:rsid w:val="00305AB2"/>
    <w:rsid w:val="00306B7B"/>
    <w:rsid w:val="0031181F"/>
    <w:rsid w:val="00312AFD"/>
    <w:rsid w:val="00316BDE"/>
    <w:rsid w:val="003227AE"/>
    <w:rsid w:val="00326063"/>
    <w:rsid w:val="003266F3"/>
    <w:rsid w:val="0032678E"/>
    <w:rsid w:val="0033075D"/>
    <w:rsid w:val="00332D4C"/>
    <w:rsid w:val="00333811"/>
    <w:rsid w:val="00334BC4"/>
    <w:rsid w:val="003367EB"/>
    <w:rsid w:val="00337A98"/>
    <w:rsid w:val="00341135"/>
    <w:rsid w:val="00341161"/>
    <w:rsid w:val="00343097"/>
    <w:rsid w:val="00344022"/>
    <w:rsid w:val="00346E08"/>
    <w:rsid w:val="00347ADB"/>
    <w:rsid w:val="00352761"/>
    <w:rsid w:val="0035473E"/>
    <w:rsid w:val="00355CFD"/>
    <w:rsid w:val="00364180"/>
    <w:rsid w:val="0036504D"/>
    <w:rsid w:val="00371C0C"/>
    <w:rsid w:val="00372270"/>
    <w:rsid w:val="00373D41"/>
    <w:rsid w:val="003836D2"/>
    <w:rsid w:val="00385750"/>
    <w:rsid w:val="0038584D"/>
    <w:rsid w:val="00385FF1"/>
    <w:rsid w:val="003864AA"/>
    <w:rsid w:val="00386DEB"/>
    <w:rsid w:val="00387155"/>
    <w:rsid w:val="003879A2"/>
    <w:rsid w:val="0039276A"/>
    <w:rsid w:val="003A3256"/>
    <w:rsid w:val="003A3D7A"/>
    <w:rsid w:val="003A4AB4"/>
    <w:rsid w:val="003A54DE"/>
    <w:rsid w:val="003B0579"/>
    <w:rsid w:val="003B27EC"/>
    <w:rsid w:val="003B6497"/>
    <w:rsid w:val="003C5151"/>
    <w:rsid w:val="003C659B"/>
    <w:rsid w:val="003D0B38"/>
    <w:rsid w:val="003D0EA2"/>
    <w:rsid w:val="003D2932"/>
    <w:rsid w:val="003D40F7"/>
    <w:rsid w:val="003D76B2"/>
    <w:rsid w:val="003E259D"/>
    <w:rsid w:val="003E32FE"/>
    <w:rsid w:val="003E41C4"/>
    <w:rsid w:val="003E64E6"/>
    <w:rsid w:val="003E6F03"/>
    <w:rsid w:val="003F080E"/>
    <w:rsid w:val="003F3545"/>
    <w:rsid w:val="003F477E"/>
    <w:rsid w:val="00401C4C"/>
    <w:rsid w:val="004032DB"/>
    <w:rsid w:val="00403B21"/>
    <w:rsid w:val="004111FD"/>
    <w:rsid w:val="00411F4B"/>
    <w:rsid w:val="004124D0"/>
    <w:rsid w:val="00412AC8"/>
    <w:rsid w:val="00420B7F"/>
    <w:rsid w:val="004218D5"/>
    <w:rsid w:val="00423AF7"/>
    <w:rsid w:val="00423D6F"/>
    <w:rsid w:val="00425CFF"/>
    <w:rsid w:val="00426B00"/>
    <w:rsid w:val="00430914"/>
    <w:rsid w:val="00431283"/>
    <w:rsid w:val="004334D9"/>
    <w:rsid w:val="00433A3E"/>
    <w:rsid w:val="00436168"/>
    <w:rsid w:val="00437720"/>
    <w:rsid w:val="00440E90"/>
    <w:rsid w:val="004415DB"/>
    <w:rsid w:val="00443245"/>
    <w:rsid w:val="00447192"/>
    <w:rsid w:val="00450D36"/>
    <w:rsid w:val="00454B22"/>
    <w:rsid w:val="00455ED0"/>
    <w:rsid w:val="004613AE"/>
    <w:rsid w:val="00464706"/>
    <w:rsid w:val="004670D3"/>
    <w:rsid w:val="00467B07"/>
    <w:rsid w:val="004712EF"/>
    <w:rsid w:val="00472962"/>
    <w:rsid w:val="00472D26"/>
    <w:rsid w:val="00474E96"/>
    <w:rsid w:val="00475BFA"/>
    <w:rsid w:val="00480EF6"/>
    <w:rsid w:val="00484195"/>
    <w:rsid w:val="004908F2"/>
    <w:rsid w:val="00494029"/>
    <w:rsid w:val="00494BC4"/>
    <w:rsid w:val="00497396"/>
    <w:rsid w:val="004A00DD"/>
    <w:rsid w:val="004A261F"/>
    <w:rsid w:val="004B044C"/>
    <w:rsid w:val="004B5A10"/>
    <w:rsid w:val="004B6914"/>
    <w:rsid w:val="004C0BE0"/>
    <w:rsid w:val="004C3620"/>
    <w:rsid w:val="004C581A"/>
    <w:rsid w:val="004C6A71"/>
    <w:rsid w:val="004D51AF"/>
    <w:rsid w:val="004E10B3"/>
    <w:rsid w:val="004E4923"/>
    <w:rsid w:val="004F1E79"/>
    <w:rsid w:val="004F54D1"/>
    <w:rsid w:val="005005BA"/>
    <w:rsid w:val="00501722"/>
    <w:rsid w:val="00503C59"/>
    <w:rsid w:val="0050427F"/>
    <w:rsid w:val="00504EC5"/>
    <w:rsid w:val="0051574A"/>
    <w:rsid w:val="00517975"/>
    <w:rsid w:val="00523831"/>
    <w:rsid w:val="00525128"/>
    <w:rsid w:val="00532188"/>
    <w:rsid w:val="005352F0"/>
    <w:rsid w:val="00545C4B"/>
    <w:rsid w:val="005518F3"/>
    <w:rsid w:val="005534C4"/>
    <w:rsid w:val="00555F1B"/>
    <w:rsid w:val="0055638B"/>
    <w:rsid w:val="005563D3"/>
    <w:rsid w:val="00564250"/>
    <w:rsid w:val="00574E03"/>
    <w:rsid w:val="00577A30"/>
    <w:rsid w:val="00580112"/>
    <w:rsid w:val="00580EAD"/>
    <w:rsid w:val="00581BD3"/>
    <w:rsid w:val="00583246"/>
    <w:rsid w:val="005A136F"/>
    <w:rsid w:val="005A155C"/>
    <w:rsid w:val="005A2F8D"/>
    <w:rsid w:val="005A577C"/>
    <w:rsid w:val="005A59B2"/>
    <w:rsid w:val="005A763A"/>
    <w:rsid w:val="005B4354"/>
    <w:rsid w:val="005B5F00"/>
    <w:rsid w:val="005C538D"/>
    <w:rsid w:val="005C77DC"/>
    <w:rsid w:val="005C7ACB"/>
    <w:rsid w:val="005D07B7"/>
    <w:rsid w:val="005D2E0C"/>
    <w:rsid w:val="005D3963"/>
    <w:rsid w:val="005D7AA2"/>
    <w:rsid w:val="005E19D5"/>
    <w:rsid w:val="005E5107"/>
    <w:rsid w:val="00604DE6"/>
    <w:rsid w:val="00610EA7"/>
    <w:rsid w:val="006118E6"/>
    <w:rsid w:val="006127B6"/>
    <w:rsid w:val="00612C9C"/>
    <w:rsid w:val="00614B48"/>
    <w:rsid w:val="0061612A"/>
    <w:rsid w:val="00616841"/>
    <w:rsid w:val="00617CB7"/>
    <w:rsid w:val="00620A65"/>
    <w:rsid w:val="00620D40"/>
    <w:rsid w:val="006222AD"/>
    <w:rsid w:val="0062243C"/>
    <w:rsid w:val="006243A1"/>
    <w:rsid w:val="00640150"/>
    <w:rsid w:val="00640F84"/>
    <w:rsid w:val="00641B8A"/>
    <w:rsid w:val="006430E9"/>
    <w:rsid w:val="006441F2"/>
    <w:rsid w:val="0064518F"/>
    <w:rsid w:val="00645263"/>
    <w:rsid w:val="006519B5"/>
    <w:rsid w:val="00652412"/>
    <w:rsid w:val="00655528"/>
    <w:rsid w:val="00661AAE"/>
    <w:rsid w:val="006627AE"/>
    <w:rsid w:val="00663C83"/>
    <w:rsid w:val="0066536C"/>
    <w:rsid w:val="00665406"/>
    <w:rsid w:val="00665914"/>
    <w:rsid w:val="006725A3"/>
    <w:rsid w:val="00672EB5"/>
    <w:rsid w:val="0067370F"/>
    <w:rsid w:val="0068196C"/>
    <w:rsid w:val="00682843"/>
    <w:rsid w:val="00682C3A"/>
    <w:rsid w:val="0068539C"/>
    <w:rsid w:val="00687322"/>
    <w:rsid w:val="00693AF5"/>
    <w:rsid w:val="006945A4"/>
    <w:rsid w:val="006A6882"/>
    <w:rsid w:val="006B578D"/>
    <w:rsid w:val="006B579E"/>
    <w:rsid w:val="006C3B6E"/>
    <w:rsid w:val="006C4107"/>
    <w:rsid w:val="006C48C6"/>
    <w:rsid w:val="006C77D8"/>
    <w:rsid w:val="006D0FBA"/>
    <w:rsid w:val="006D1B22"/>
    <w:rsid w:val="006D359A"/>
    <w:rsid w:val="006D4CE3"/>
    <w:rsid w:val="006D586B"/>
    <w:rsid w:val="006D59B9"/>
    <w:rsid w:val="006F1CFD"/>
    <w:rsid w:val="006F21F9"/>
    <w:rsid w:val="006F2FD6"/>
    <w:rsid w:val="006F3EA9"/>
    <w:rsid w:val="006F4BA6"/>
    <w:rsid w:val="00701C52"/>
    <w:rsid w:val="0070310C"/>
    <w:rsid w:val="007033F2"/>
    <w:rsid w:val="00704BD8"/>
    <w:rsid w:val="007071C1"/>
    <w:rsid w:val="00711AB1"/>
    <w:rsid w:val="0071395C"/>
    <w:rsid w:val="0071539F"/>
    <w:rsid w:val="007160D4"/>
    <w:rsid w:val="00717236"/>
    <w:rsid w:val="007175AE"/>
    <w:rsid w:val="0072399A"/>
    <w:rsid w:val="007301B6"/>
    <w:rsid w:val="007306C8"/>
    <w:rsid w:val="00731EF6"/>
    <w:rsid w:val="00741DE6"/>
    <w:rsid w:val="00743A9F"/>
    <w:rsid w:val="00744D73"/>
    <w:rsid w:val="00744EE0"/>
    <w:rsid w:val="00747320"/>
    <w:rsid w:val="0075031B"/>
    <w:rsid w:val="00752192"/>
    <w:rsid w:val="007572C8"/>
    <w:rsid w:val="00760911"/>
    <w:rsid w:val="007674D4"/>
    <w:rsid w:val="00771E9C"/>
    <w:rsid w:val="00771F8C"/>
    <w:rsid w:val="00774415"/>
    <w:rsid w:val="00776855"/>
    <w:rsid w:val="00776B6E"/>
    <w:rsid w:val="00783D55"/>
    <w:rsid w:val="00784126"/>
    <w:rsid w:val="00786546"/>
    <w:rsid w:val="0079204F"/>
    <w:rsid w:val="00792089"/>
    <w:rsid w:val="00793C22"/>
    <w:rsid w:val="00797BFF"/>
    <w:rsid w:val="007A03E0"/>
    <w:rsid w:val="007A5048"/>
    <w:rsid w:val="007B1351"/>
    <w:rsid w:val="007B3A55"/>
    <w:rsid w:val="007B5965"/>
    <w:rsid w:val="007B75C0"/>
    <w:rsid w:val="007C2AEF"/>
    <w:rsid w:val="007C4514"/>
    <w:rsid w:val="007C75B4"/>
    <w:rsid w:val="007D71B1"/>
    <w:rsid w:val="007E52C2"/>
    <w:rsid w:val="007E5917"/>
    <w:rsid w:val="007E6A06"/>
    <w:rsid w:val="007F50F8"/>
    <w:rsid w:val="007F52E1"/>
    <w:rsid w:val="007F5C81"/>
    <w:rsid w:val="007F6BE7"/>
    <w:rsid w:val="00800A1A"/>
    <w:rsid w:val="00802826"/>
    <w:rsid w:val="00823A1D"/>
    <w:rsid w:val="00826785"/>
    <w:rsid w:val="00826E12"/>
    <w:rsid w:val="008271C4"/>
    <w:rsid w:val="00830BE5"/>
    <w:rsid w:val="00832BA4"/>
    <w:rsid w:val="00832D71"/>
    <w:rsid w:val="00833D71"/>
    <w:rsid w:val="008357DC"/>
    <w:rsid w:val="0083618A"/>
    <w:rsid w:val="008424B1"/>
    <w:rsid w:val="00842A8B"/>
    <w:rsid w:val="00847177"/>
    <w:rsid w:val="008475BC"/>
    <w:rsid w:val="00847DCB"/>
    <w:rsid w:val="008558E2"/>
    <w:rsid w:val="00856497"/>
    <w:rsid w:val="00856A8C"/>
    <w:rsid w:val="00860D56"/>
    <w:rsid w:val="00864B7F"/>
    <w:rsid w:val="00875093"/>
    <w:rsid w:val="00875442"/>
    <w:rsid w:val="008775BB"/>
    <w:rsid w:val="00883A37"/>
    <w:rsid w:val="00885BFA"/>
    <w:rsid w:val="008936E7"/>
    <w:rsid w:val="008A0732"/>
    <w:rsid w:val="008A5184"/>
    <w:rsid w:val="008A7F42"/>
    <w:rsid w:val="008B6D9A"/>
    <w:rsid w:val="008B74B5"/>
    <w:rsid w:val="008C25C1"/>
    <w:rsid w:val="008C33A0"/>
    <w:rsid w:val="008D676E"/>
    <w:rsid w:val="008E1E7A"/>
    <w:rsid w:val="008F0E60"/>
    <w:rsid w:val="008F167B"/>
    <w:rsid w:val="008F18DB"/>
    <w:rsid w:val="008F19A1"/>
    <w:rsid w:val="008F3E72"/>
    <w:rsid w:val="008F7B87"/>
    <w:rsid w:val="008F7FCB"/>
    <w:rsid w:val="0090306C"/>
    <w:rsid w:val="009031D2"/>
    <w:rsid w:val="00903BC2"/>
    <w:rsid w:val="009054BF"/>
    <w:rsid w:val="0091468A"/>
    <w:rsid w:val="0092012D"/>
    <w:rsid w:val="00921A6B"/>
    <w:rsid w:val="00924245"/>
    <w:rsid w:val="00927D38"/>
    <w:rsid w:val="00932766"/>
    <w:rsid w:val="009329A7"/>
    <w:rsid w:val="00933382"/>
    <w:rsid w:val="009377B0"/>
    <w:rsid w:val="00940891"/>
    <w:rsid w:val="00943C34"/>
    <w:rsid w:val="00943CF7"/>
    <w:rsid w:val="009514E6"/>
    <w:rsid w:val="00952672"/>
    <w:rsid w:val="00953864"/>
    <w:rsid w:val="00954A2E"/>
    <w:rsid w:val="00956B6E"/>
    <w:rsid w:val="00957E0F"/>
    <w:rsid w:val="00960DDB"/>
    <w:rsid w:val="0096177B"/>
    <w:rsid w:val="009619F7"/>
    <w:rsid w:val="00962283"/>
    <w:rsid w:val="009672ED"/>
    <w:rsid w:val="009708F0"/>
    <w:rsid w:val="009810C5"/>
    <w:rsid w:val="00983CDE"/>
    <w:rsid w:val="009848FA"/>
    <w:rsid w:val="00995E16"/>
    <w:rsid w:val="009A43E2"/>
    <w:rsid w:val="009A5813"/>
    <w:rsid w:val="009B38BF"/>
    <w:rsid w:val="009B6B30"/>
    <w:rsid w:val="009C2B72"/>
    <w:rsid w:val="009C4792"/>
    <w:rsid w:val="009C6FEB"/>
    <w:rsid w:val="009D1623"/>
    <w:rsid w:val="009D294C"/>
    <w:rsid w:val="009D3442"/>
    <w:rsid w:val="009D65E0"/>
    <w:rsid w:val="009E1805"/>
    <w:rsid w:val="009E1FBF"/>
    <w:rsid w:val="009E60E3"/>
    <w:rsid w:val="009F0078"/>
    <w:rsid w:val="009F04A9"/>
    <w:rsid w:val="009F17BE"/>
    <w:rsid w:val="009F459F"/>
    <w:rsid w:val="00A01A92"/>
    <w:rsid w:val="00A01B8C"/>
    <w:rsid w:val="00A02296"/>
    <w:rsid w:val="00A06B7A"/>
    <w:rsid w:val="00A072E6"/>
    <w:rsid w:val="00A10442"/>
    <w:rsid w:val="00A10A35"/>
    <w:rsid w:val="00A2062F"/>
    <w:rsid w:val="00A210ED"/>
    <w:rsid w:val="00A22C3C"/>
    <w:rsid w:val="00A275DD"/>
    <w:rsid w:val="00A27B7E"/>
    <w:rsid w:val="00A31CE2"/>
    <w:rsid w:val="00A32BC8"/>
    <w:rsid w:val="00A36791"/>
    <w:rsid w:val="00A4061F"/>
    <w:rsid w:val="00A408C9"/>
    <w:rsid w:val="00A467B6"/>
    <w:rsid w:val="00A46BD3"/>
    <w:rsid w:val="00A55A65"/>
    <w:rsid w:val="00A61547"/>
    <w:rsid w:val="00A62E81"/>
    <w:rsid w:val="00A67217"/>
    <w:rsid w:val="00A70BE2"/>
    <w:rsid w:val="00A711B4"/>
    <w:rsid w:val="00A74A2C"/>
    <w:rsid w:val="00A74F30"/>
    <w:rsid w:val="00A76221"/>
    <w:rsid w:val="00A775A3"/>
    <w:rsid w:val="00A82DCD"/>
    <w:rsid w:val="00A86A6A"/>
    <w:rsid w:val="00A91EFC"/>
    <w:rsid w:val="00A93F8B"/>
    <w:rsid w:val="00A964FB"/>
    <w:rsid w:val="00A97A6F"/>
    <w:rsid w:val="00AA26B4"/>
    <w:rsid w:val="00AA288A"/>
    <w:rsid w:val="00AA2A49"/>
    <w:rsid w:val="00AA4D46"/>
    <w:rsid w:val="00AA7FF1"/>
    <w:rsid w:val="00AB3F98"/>
    <w:rsid w:val="00AB4553"/>
    <w:rsid w:val="00AB5C1B"/>
    <w:rsid w:val="00AB7110"/>
    <w:rsid w:val="00AC0167"/>
    <w:rsid w:val="00AC0952"/>
    <w:rsid w:val="00AC1133"/>
    <w:rsid w:val="00AC1DDC"/>
    <w:rsid w:val="00AC3365"/>
    <w:rsid w:val="00AC6D07"/>
    <w:rsid w:val="00AD054A"/>
    <w:rsid w:val="00AD2584"/>
    <w:rsid w:val="00AD300F"/>
    <w:rsid w:val="00AD4692"/>
    <w:rsid w:val="00AD69D1"/>
    <w:rsid w:val="00AE268E"/>
    <w:rsid w:val="00AE3B23"/>
    <w:rsid w:val="00AE4562"/>
    <w:rsid w:val="00AE6C80"/>
    <w:rsid w:val="00AE6FDF"/>
    <w:rsid w:val="00AF2B8C"/>
    <w:rsid w:val="00AF56B0"/>
    <w:rsid w:val="00B11EB1"/>
    <w:rsid w:val="00B1200C"/>
    <w:rsid w:val="00B1547F"/>
    <w:rsid w:val="00B172C1"/>
    <w:rsid w:val="00B231D2"/>
    <w:rsid w:val="00B2421E"/>
    <w:rsid w:val="00B25F55"/>
    <w:rsid w:val="00B27FAB"/>
    <w:rsid w:val="00B30DCA"/>
    <w:rsid w:val="00B3211A"/>
    <w:rsid w:val="00B36FF4"/>
    <w:rsid w:val="00B41D93"/>
    <w:rsid w:val="00B43C7F"/>
    <w:rsid w:val="00B441F7"/>
    <w:rsid w:val="00B46B9A"/>
    <w:rsid w:val="00B47371"/>
    <w:rsid w:val="00B51B7A"/>
    <w:rsid w:val="00B53347"/>
    <w:rsid w:val="00B60AC9"/>
    <w:rsid w:val="00B60B49"/>
    <w:rsid w:val="00B61490"/>
    <w:rsid w:val="00B6333F"/>
    <w:rsid w:val="00B6473F"/>
    <w:rsid w:val="00B66DC3"/>
    <w:rsid w:val="00B70F10"/>
    <w:rsid w:val="00B71BEE"/>
    <w:rsid w:val="00B7200A"/>
    <w:rsid w:val="00B75C81"/>
    <w:rsid w:val="00B7680C"/>
    <w:rsid w:val="00B77163"/>
    <w:rsid w:val="00B7735F"/>
    <w:rsid w:val="00B80CDF"/>
    <w:rsid w:val="00B82A52"/>
    <w:rsid w:val="00B87761"/>
    <w:rsid w:val="00B9562C"/>
    <w:rsid w:val="00B96BA0"/>
    <w:rsid w:val="00BB0526"/>
    <w:rsid w:val="00BB1BAA"/>
    <w:rsid w:val="00BB3106"/>
    <w:rsid w:val="00BB55F6"/>
    <w:rsid w:val="00BB634C"/>
    <w:rsid w:val="00BC201D"/>
    <w:rsid w:val="00BC2525"/>
    <w:rsid w:val="00BC6732"/>
    <w:rsid w:val="00BD17D5"/>
    <w:rsid w:val="00BD1D5D"/>
    <w:rsid w:val="00BE334D"/>
    <w:rsid w:val="00BE56AA"/>
    <w:rsid w:val="00BE7476"/>
    <w:rsid w:val="00BF267A"/>
    <w:rsid w:val="00BF50D8"/>
    <w:rsid w:val="00C017CA"/>
    <w:rsid w:val="00C03B2F"/>
    <w:rsid w:val="00C050C3"/>
    <w:rsid w:val="00C05F8B"/>
    <w:rsid w:val="00C13D8D"/>
    <w:rsid w:val="00C15704"/>
    <w:rsid w:val="00C36493"/>
    <w:rsid w:val="00C36F9F"/>
    <w:rsid w:val="00C4111F"/>
    <w:rsid w:val="00C421B7"/>
    <w:rsid w:val="00C42424"/>
    <w:rsid w:val="00C44168"/>
    <w:rsid w:val="00C4504E"/>
    <w:rsid w:val="00C459AE"/>
    <w:rsid w:val="00C45D92"/>
    <w:rsid w:val="00C46904"/>
    <w:rsid w:val="00C4791F"/>
    <w:rsid w:val="00C502FB"/>
    <w:rsid w:val="00C51B90"/>
    <w:rsid w:val="00C55659"/>
    <w:rsid w:val="00C5759B"/>
    <w:rsid w:val="00C57E84"/>
    <w:rsid w:val="00C608EA"/>
    <w:rsid w:val="00C60FBD"/>
    <w:rsid w:val="00C62E06"/>
    <w:rsid w:val="00C63A97"/>
    <w:rsid w:val="00C67F97"/>
    <w:rsid w:val="00C70286"/>
    <w:rsid w:val="00C70449"/>
    <w:rsid w:val="00C71244"/>
    <w:rsid w:val="00C743DC"/>
    <w:rsid w:val="00C74D11"/>
    <w:rsid w:val="00C80D63"/>
    <w:rsid w:val="00C81722"/>
    <w:rsid w:val="00C8212E"/>
    <w:rsid w:val="00C92390"/>
    <w:rsid w:val="00C92A9B"/>
    <w:rsid w:val="00C93039"/>
    <w:rsid w:val="00C978F6"/>
    <w:rsid w:val="00CA062A"/>
    <w:rsid w:val="00CA104D"/>
    <w:rsid w:val="00CA217E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92D"/>
    <w:rsid w:val="00CC75D3"/>
    <w:rsid w:val="00CD23E5"/>
    <w:rsid w:val="00CD5888"/>
    <w:rsid w:val="00CE0F5C"/>
    <w:rsid w:val="00CE1083"/>
    <w:rsid w:val="00CE276B"/>
    <w:rsid w:val="00CE430A"/>
    <w:rsid w:val="00CE551C"/>
    <w:rsid w:val="00CE7062"/>
    <w:rsid w:val="00CE7FFA"/>
    <w:rsid w:val="00CF0A17"/>
    <w:rsid w:val="00CF0FDC"/>
    <w:rsid w:val="00CF2FB8"/>
    <w:rsid w:val="00CF4B4E"/>
    <w:rsid w:val="00CF594F"/>
    <w:rsid w:val="00CF629C"/>
    <w:rsid w:val="00D01A20"/>
    <w:rsid w:val="00D01B27"/>
    <w:rsid w:val="00D049D6"/>
    <w:rsid w:val="00D04FF5"/>
    <w:rsid w:val="00D06DBB"/>
    <w:rsid w:val="00D10F56"/>
    <w:rsid w:val="00D15542"/>
    <w:rsid w:val="00D16566"/>
    <w:rsid w:val="00D1736A"/>
    <w:rsid w:val="00D2030F"/>
    <w:rsid w:val="00D218CB"/>
    <w:rsid w:val="00D21A7F"/>
    <w:rsid w:val="00D223EC"/>
    <w:rsid w:val="00D227CC"/>
    <w:rsid w:val="00D26CB9"/>
    <w:rsid w:val="00D30B5D"/>
    <w:rsid w:val="00D30D5F"/>
    <w:rsid w:val="00D33220"/>
    <w:rsid w:val="00D40335"/>
    <w:rsid w:val="00D42EF3"/>
    <w:rsid w:val="00D46252"/>
    <w:rsid w:val="00D56F8F"/>
    <w:rsid w:val="00D6081B"/>
    <w:rsid w:val="00D6121E"/>
    <w:rsid w:val="00D711E1"/>
    <w:rsid w:val="00D72A52"/>
    <w:rsid w:val="00D75897"/>
    <w:rsid w:val="00D75918"/>
    <w:rsid w:val="00D75A68"/>
    <w:rsid w:val="00D75DD7"/>
    <w:rsid w:val="00D77477"/>
    <w:rsid w:val="00D82899"/>
    <w:rsid w:val="00D84FF5"/>
    <w:rsid w:val="00D85C6E"/>
    <w:rsid w:val="00D94A97"/>
    <w:rsid w:val="00D96C56"/>
    <w:rsid w:val="00DA7A82"/>
    <w:rsid w:val="00DB1306"/>
    <w:rsid w:val="00DB7AF5"/>
    <w:rsid w:val="00DC0F66"/>
    <w:rsid w:val="00DC34FD"/>
    <w:rsid w:val="00DC5969"/>
    <w:rsid w:val="00DD018F"/>
    <w:rsid w:val="00DD4AF0"/>
    <w:rsid w:val="00DD55D1"/>
    <w:rsid w:val="00DE1251"/>
    <w:rsid w:val="00DE158A"/>
    <w:rsid w:val="00DE2A9D"/>
    <w:rsid w:val="00DE34E4"/>
    <w:rsid w:val="00DE3BCF"/>
    <w:rsid w:val="00DE4FEF"/>
    <w:rsid w:val="00DE5363"/>
    <w:rsid w:val="00DE6DE6"/>
    <w:rsid w:val="00DE7446"/>
    <w:rsid w:val="00DE7885"/>
    <w:rsid w:val="00DF0C5E"/>
    <w:rsid w:val="00DF1179"/>
    <w:rsid w:val="00DF1220"/>
    <w:rsid w:val="00DF497D"/>
    <w:rsid w:val="00DF5F9B"/>
    <w:rsid w:val="00DF62EA"/>
    <w:rsid w:val="00DF6401"/>
    <w:rsid w:val="00DF7E50"/>
    <w:rsid w:val="00E01594"/>
    <w:rsid w:val="00E022AE"/>
    <w:rsid w:val="00E02E48"/>
    <w:rsid w:val="00E03AB7"/>
    <w:rsid w:val="00E05EE9"/>
    <w:rsid w:val="00E066BB"/>
    <w:rsid w:val="00E10AF8"/>
    <w:rsid w:val="00E11656"/>
    <w:rsid w:val="00E12EFF"/>
    <w:rsid w:val="00E13AA2"/>
    <w:rsid w:val="00E157E0"/>
    <w:rsid w:val="00E17037"/>
    <w:rsid w:val="00E201A2"/>
    <w:rsid w:val="00E21E4A"/>
    <w:rsid w:val="00E22B4D"/>
    <w:rsid w:val="00E24313"/>
    <w:rsid w:val="00E25361"/>
    <w:rsid w:val="00E25669"/>
    <w:rsid w:val="00E2717E"/>
    <w:rsid w:val="00E3041E"/>
    <w:rsid w:val="00E30911"/>
    <w:rsid w:val="00E323FB"/>
    <w:rsid w:val="00E33DDC"/>
    <w:rsid w:val="00E40E90"/>
    <w:rsid w:val="00E42635"/>
    <w:rsid w:val="00E42E02"/>
    <w:rsid w:val="00E43094"/>
    <w:rsid w:val="00E43D5D"/>
    <w:rsid w:val="00E46ED1"/>
    <w:rsid w:val="00E52CAA"/>
    <w:rsid w:val="00E54EAD"/>
    <w:rsid w:val="00E560F9"/>
    <w:rsid w:val="00E56571"/>
    <w:rsid w:val="00E6048C"/>
    <w:rsid w:val="00E604C2"/>
    <w:rsid w:val="00E60A70"/>
    <w:rsid w:val="00E6129C"/>
    <w:rsid w:val="00E615B6"/>
    <w:rsid w:val="00E62BF6"/>
    <w:rsid w:val="00E64240"/>
    <w:rsid w:val="00E64D3F"/>
    <w:rsid w:val="00E65134"/>
    <w:rsid w:val="00E65AC1"/>
    <w:rsid w:val="00E7130D"/>
    <w:rsid w:val="00E71797"/>
    <w:rsid w:val="00E72BA6"/>
    <w:rsid w:val="00E74E54"/>
    <w:rsid w:val="00E75977"/>
    <w:rsid w:val="00E76309"/>
    <w:rsid w:val="00E83973"/>
    <w:rsid w:val="00E83A3E"/>
    <w:rsid w:val="00E84122"/>
    <w:rsid w:val="00E84C9E"/>
    <w:rsid w:val="00E937B8"/>
    <w:rsid w:val="00E94D9D"/>
    <w:rsid w:val="00E960F0"/>
    <w:rsid w:val="00E96F1B"/>
    <w:rsid w:val="00EA0098"/>
    <w:rsid w:val="00EA6023"/>
    <w:rsid w:val="00EB2D4B"/>
    <w:rsid w:val="00EB4912"/>
    <w:rsid w:val="00EB51A6"/>
    <w:rsid w:val="00EB532B"/>
    <w:rsid w:val="00EC2942"/>
    <w:rsid w:val="00EC2C9B"/>
    <w:rsid w:val="00ED420E"/>
    <w:rsid w:val="00ED7B54"/>
    <w:rsid w:val="00EE26DD"/>
    <w:rsid w:val="00EE2825"/>
    <w:rsid w:val="00EE453A"/>
    <w:rsid w:val="00EE6A76"/>
    <w:rsid w:val="00EF1062"/>
    <w:rsid w:val="00EF25B8"/>
    <w:rsid w:val="00EF38F2"/>
    <w:rsid w:val="00F01906"/>
    <w:rsid w:val="00F03BB7"/>
    <w:rsid w:val="00F054BA"/>
    <w:rsid w:val="00F135C0"/>
    <w:rsid w:val="00F16403"/>
    <w:rsid w:val="00F16FB2"/>
    <w:rsid w:val="00F211D5"/>
    <w:rsid w:val="00F23068"/>
    <w:rsid w:val="00F237F5"/>
    <w:rsid w:val="00F32C51"/>
    <w:rsid w:val="00F33818"/>
    <w:rsid w:val="00F35F5B"/>
    <w:rsid w:val="00F37F61"/>
    <w:rsid w:val="00F40095"/>
    <w:rsid w:val="00F4144C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173F"/>
    <w:rsid w:val="00F763AE"/>
    <w:rsid w:val="00F8064A"/>
    <w:rsid w:val="00F81409"/>
    <w:rsid w:val="00F849D8"/>
    <w:rsid w:val="00F84E32"/>
    <w:rsid w:val="00F8619B"/>
    <w:rsid w:val="00F86F4E"/>
    <w:rsid w:val="00F90527"/>
    <w:rsid w:val="00F91276"/>
    <w:rsid w:val="00F91458"/>
    <w:rsid w:val="00F91E42"/>
    <w:rsid w:val="00F92347"/>
    <w:rsid w:val="00F96073"/>
    <w:rsid w:val="00FA1865"/>
    <w:rsid w:val="00FA239B"/>
    <w:rsid w:val="00FA3559"/>
    <w:rsid w:val="00FA3D3E"/>
    <w:rsid w:val="00FA5930"/>
    <w:rsid w:val="00FA5A50"/>
    <w:rsid w:val="00FB4310"/>
    <w:rsid w:val="00FB4B52"/>
    <w:rsid w:val="00FB7924"/>
    <w:rsid w:val="00FC4A9B"/>
    <w:rsid w:val="00FC4C89"/>
    <w:rsid w:val="00FC5668"/>
    <w:rsid w:val="00FC6445"/>
    <w:rsid w:val="00FD2E86"/>
    <w:rsid w:val="00FD4D3D"/>
    <w:rsid w:val="00FD6D49"/>
    <w:rsid w:val="00FE2DA2"/>
    <w:rsid w:val="00FE4EF6"/>
    <w:rsid w:val="00FE5E2A"/>
    <w:rsid w:val="00FF3A49"/>
    <w:rsid w:val="00FF50C2"/>
    <w:rsid w:val="00FF6367"/>
    <w:rsid w:val="00FF7D9D"/>
    <w:rsid w:val="383B5099"/>
    <w:rsid w:val="752B50B1"/>
    <w:rsid w:val="7F25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styleId="2">
    <w:name w:val="heading 1"/>
    <w:basedOn w:val="1"/>
    <w:next w:val="1"/>
    <w:link w:val="14"/>
    <w:qFormat/>
    <w:locked/>
    <w:uiPriority w:val="0"/>
    <w:pPr>
      <w:keepNext/>
      <w:widowControl/>
      <w:numPr>
        <w:ilvl w:val="0"/>
        <w:numId w:val="1"/>
      </w:numPr>
      <w:jc w:val="center"/>
      <w:outlineLvl w:val="0"/>
    </w:pPr>
    <w:rPr>
      <w:b/>
      <w:sz w:val="40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99"/>
    <w:rPr>
      <w:rFonts w:cs="Times New Roman"/>
      <w:color w:val="0000FF"/>
      <w:u w:val="single"/>
    </w:rPr>
  </w:style>
  <w:style w:type="character" w:styleId="6">
    <w:name w:val="page number"/>
    <w:uiPriority w:val="99"/>
    <w:rPr>
      <w:rFonts w:cs="Times New Roman"/>
    </w:rPr>
  </w:style>
  <w:style w:type="paragraph" w:styleId="7">
    <w:name w:val="Balloon Text"/>
    <w:basedOn w:val="1"/>
    <w:link w:val="16"/>
    <w:semiHidden/>
    <w:uiPriority w:val="99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8">
    <w:name w:val="header"/>
    <w:basedOn w:val="1"/>
    <w:link w:val="18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9">
    <w:name w:val="Body Text"/>
    <w:basedOn w:val="1"/>
    <w:link w:val="24"/>
    <w:qFormat/>
    <w:uiPriority w:val="99"/>
    <w:pPr>
      <w:widowControl/>
      <w:suppressAutoHyphens w:val="0"/>
    </w:pPr>
    <w:rPr>
      <w:b/>
      <w:sz w:val="24"/>
      <w:lang w:val="de-DE" w:eastAsia="ru-RU"/>
    </w:rPr>
  </w:style>
  <w:style w:type="paragraph" w:styleId="10">
    <w:name w:val="Body Text Indent"/>
    <w:basedOn w:val="1"/>
    <w:link w:val="28"/>
    <w:qFormat/>
    <w:uiPriority w:val="99"/>
    <w:pPr>
      <w:widowControl/>
      <w:suppressAutoHyphens w:val="0"/>
      <w:spacing w:after="120"/>
      <w:ind w:left="283"/>
    </w:pPr>
    <w:rPr>
      <w:rFonts w:eastAsia="PMingLiU"/>
      <w:sz w:val="24"/>
    </w:rPr>
  </w:style>
  <w:style w:type="paragraph" w:styleId="11">
    <w:name w:val="footer"/>
    <w:basedOn w:val="1"/>
    <w:link w:val="17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2">
    <w:name w:val="Normal (Web)"/>
    <w:basedOn w:val="1"/>
    <w:qFormat/>
    <w:uiPriority w:val="99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13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15">
    <w:name w:val="apple-style-span"/>
    <w:qFormat/>
    <w:uiPriority w:val="99"/>
    <w:rPr>
      <w:rFonts w:cs="Times New Roman"/>
    </w:rPr>
  </w:style>
  <w:style w:type="character" w:customStyle="1" w:styleId="16">
    <w:name w:val="Текст выноски Знак"/>
    <w:link w:val="7"/>
    <w:semiHidden/>
    <w:qFormat/>
    <w:locked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7">
    <w:name w:val="Нижний колонтитул Знак"/>
    <w:link w:val="11"/>
    <w:semiHidden/>
    <w:qFormat/>
    <w:locked/>
    <w:uiPriority w:val="99"/>
    <w:rPr>
      <w:rFonts w:cs="Times New Roman"/>
      <w:sz w:val="20"/>
      <w:szCs w:val="20"/>
    </w:rPr>
  </w:style>
  <w:style w:type="character" w:customStyle="1" w:styleId="18">
    <w:name w:val="Верхний колонтитул Знак"/>
    <w:link w:val="8"/>
    <w:semiHidden/>
    <w:qFormat/>
    <w:locked/>
    <w:uiPriority w:val="99"/>
    <w:rPr>
      <w:rFonts w:cs="Times New Roman"/>
      <w:sz w:val="20"/>
      <w:szCs w:val="20"/>
    </w:rPr>
  </w:style>
  <w:style w:type="character" w:customStyle="1" w:styleId="19">
    <w:name w:val="Заголовок1"/>
    <w:qFormat/>
    <w:uiPriority w:val="99"/>
    <w:rPr>
      <w:rFonts w:cs="Times New Roman"/>
    </w:rPr>
  </w:style>
  <w:style w:type="character" w:customStyle="1" w:styleId="20">
    <w:name w:val="style_13361354500000000232rvts6"/>
    <w:qFormat/>
    <w:uiPriority w:val="99"/>
    <w:rPr>
      <w:rFonts w:cs="Times New Roman"/>
    </w:rPr>
  </w:style>
  <w:style w:type="character" w:customStyle="1" w:styleId="21">
    <w:name w:val="quotations__item__rate"/>
    <w:qFormat/>
    <w:uiPriority w:val="99"/>
    <w:rPr>
      <w:rFonts w:cs="Times New Roman"/>
    </w:rPr>
  </w:style>
  <w:style w:type="character" w:customStyle="1" w:styleId="22">
    <w:name w:val="s-rate__item__cont__value1"/>
    <w:qFormat/>
    <w:uiPriority w:val="99"/>
    <w:rPr>
      <w:rFonts w:cs="Times New Roman"/>
      <w:color w:val="2C2A28"/>
      <w:sz w:val="37"/>
      <w:szCs w:val="37"/>
    </w:rPr>
  </w:style>
  <w:style w:type="character" w:customStyle="1" w:styleId="23">
    <w:name w:val="Body Tex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24">
    <w:name w:val="Основной текст Знак"/>
    <w:link w:val="9"/>
    <w:qFormat/>
    <w:locked/>
    <w:uiPriority w:val="99"/>
    <w:rPr>
      <w:rFonts w:cs="Times New Roman"/>
      <w:b/>
      <w:sz w:val="24"/>
      <w:lang w:val="de-DE" w:eastAsia="ru-RU" w:bidi="ar-SA"/>
    </w:rPr>
  </w:style>
  <w:style w:type="character" w:customStyle="1" w:styleId="25">
    <w:name w:val="apple-converted-space"/>
    <w:qFormat/>
    <w:uiPriority w:val="99"/>
  </w:style>
  <w:style w:type="paragraph" w:customStyle="1" w:styleId="26">
    <w:name w:val="Default"/>
    <w:qFormat/>
    <w:uiPriority w:val="99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27">
    <w:name w:val="Body Text Inden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28">
    <w:name w:val="Основной текст с отступом Знак"/>
    <w:link w:val="10"/>
    <w:qFormat/>
    <w:locked/>
    <w:uiPriority w:val="99"/>
    <w:rPr>
      <w:rFonts w:eastAsia="PMingLiU"/>
      <w:sz w:val="24"/>
    </w:rPr>
  </w:style>
  <w:style w:type="paragraph" w:customStyle="1" w:styleId="29">
    <w:name w:val="Название объекта2"/>
    <w:basedOn w:val="1"/>
    <w:next w:val="1"/>
    <w:qFormat/>
    <w:uiPriority w:val="99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0">
    <w:name w:val="Основной текст с отступом 31"/>
    <w:basedOn w:val="1"/>
    <w:qFormat/>
    <w:uiPriority w:val="99"/>
    <w:pPr>
      <w:widowControl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  <w:ind w:left="426"/>
      <w:jc w:val="center"/>
    </w:pPr>
    <w:rPr>
      <w:b/>
      <w:sz w:val="36"/>
    </w:rPr>
  </w:style>
  <w:style w:type="character" w:customStyle="1" w:styleId="31">
    <w:name w:val="rptfld1"/>
    <w:qFormat/>
    <w:uiPriority w:val="99"/>
    <w:rPr>
      <w:rFonts w:cs="Times New Roman"/>
      <w:bdr w:val="single" w:color="EAEAEA" w:sz="6" w:space="0"/>
    </w:rPr>
  </w:style>
  <w:style w:type="paragraph" w:customStyle="1" w:styleId="32">
    <w:name w:val="Название объекта1"/>
    <w:basedOn w:val="1"/>
    <w:next w:val="1"/>
    <w:qFormat/>
    <w:uiPriority w:val="0"/>
    <w:pPr>
      <w:widowControl/>
      <w:spacing w:before="120"/>
    </w:pPr>
    <w:rPr>
      <w:b/>
      <w:sz w:val="20"/>
      <w:u w:val="single"/>
    </w:rPr>
  </w:style>
  <w:style w:type="paragraph" w:customStyle="1" w:styleId="33">
    <w:name w:val="Обычный1"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customStyle="1" w:styleId="34">
    <w:name w:val="Обычный3"/>
    <w:qFormat/>
    <w:uiPriority w:val="0"/>
    <w:pPr>
      <w:widowControl w:val="0"/>
      <w:suppressAutoHyphens/>
    </w:pPr>
    <w:rPr>
      <w:rFonts w:ascii="Times New Roman" w:hAnsi="Times New Roman" w:eastAsia="Arial" w:cs="Times New Roman"/>
      <w:sz w:val="22"/>
      <w:lang w:val="ru-RU" w:eastAsia="ar-SA" w:bidi="ar-SA"/>
    </w:rPr>
  </w:style>
  <w:style w:type="paragraph" w:customStyle="1" w:styleId="35">
    <w:name w:val="Обычный2"/>
    <w:qFormat/>
    <w:uiPriority w:val="0"/>
    <w:pPr>
      <w:widowControl w:val="0"/>
      <w:suppressAutoHyphens/>
    </w:pPr>
    <w:rPr>
      <w:rFonts w:ascii="Times New Roman" w:hAnsi="Times New Roman" w:eastAsia="Arial" w:cs="Times New Roman"/>
      <w:sz w:val="22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6</Pages>
  <Words>1262</Words>
  <Characters>7200</Characters>
  <Lines>60</Lines>
  <Paragraphs>16</Paragraphs>
  <TotalTime>596</TotalTime>
  <ScaleCrop>false</ScaleCrop>
  <LinksUpToDate>false</LinksUpToDate>
  <CharactersWithSpaces>8446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2013-11-21T12:26:00Z</dcterms:created>
  <dc:creator>Прудских</dc:creator>
  <cp:lastModifiedBy>1203117</cp:lastModifiedBy>
  <cp:lastPrinted>2013-11-21T06:41:00Z</cp:lastPrinted>
  <dcterms:modified xsi:type="dcterms:W3CDTF">2024-11-07T08:13:29Z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CD85E8528A6A479CB04D5D7910557420_12</vt:lpwstr>
  </property>
</Properties>
</file>